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深圳实验学校初中部新校舍食堂厨杂项目招标文件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51</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十三</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51</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深圳实验学校初中部新校舍食堂厨杂项目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其他资料2"/>
      <w:bookmarkEnd w:id="3"/>
      <w:bookmarkStart w:id="4" w:name="bt本工程承诺书"/>
      <w:bookmarkEnd w:id="4"/>
      <w:bookmarkStart w:id="5" w:name="bt投标文件签署授权委托书"/>
      <w:bookmarkEnd w:id="5"/>
      <w:bookmarkStart w:id="6" w:name="bt合同条款"/>
      <w:bookmarkEnd w:id="6"/>
      <w:bookmarkStart w:id="7" w:name="bt项目管理班子配备情况"/>
      <w:bookmarkEnd w:id="7"/>
      <w:bookmarkStart w:id="8" w:name="bt投标人须知"/>
      <w:bookmarkEnd w:id="8"/>
      <w:bookmarkStart w:id="9" w:name="bt技术标投标文件格式"/>
      <w:bookmarkEnd w:id="9"/>
      <w:bookmarkStart w:id="10" w:name="bt合同格式"/>
      <w:bookmarkEnd w:id="10"/>
      <w:bookmarkStart w:id="11" w:name="bt其他资料由投标人自定"/>
      <w:bookmarkEnd w:id="11"/>
      <w:bookmarkStart w:id="12" w:name="bt开标一览表"/>
      <w:bookmarkEnd w:id="12"/>
      <w:bookmarkStart w:id="13" w:name="合同格式"/>
      <w:bookmarkEnd w:id="13"/>
      <w:bookmarkStart w:id="14" w:name="bt投标函"/>
      <w:bookmarkEnd w:id="14"/>
      <w:bookmarkStart w:id="15" w:name="bt投标报价汇总表"/>
      <w:bookmarkEnd w:id="15"/>
      <w:bookmarkStart w:id="16" w:name="bt合同条款及格式"/>
      <w:bookmarkEnd w:id="16"/>
      <w:bookmarkStart w:id="17" w:name="bt商务标投标文件格式"/>
      <w:bookmarkEnd w:id="17"/>
      <w:bookmarkStart w:id="18" w:name="bt说明"/>
      <w:bookmarkEnd w:id="18"/>
      <w:bookmarkStart w:id="19" w:name="bt投标人情况介绍"/>
      <w:bookmarkEnd w:id="19"/>
    </w:p>
    <w:p>
      <w:pPr>
        <w:pStyle w:val="2"/>
      </w:pPr>
      <w:r>
        <w:rPr>
          <w:rFonts w:hint="eastAsia"/>
        </w:rPr>
        <w:t>第二章  项目需求</w:t>
      </w:r>
    </w:p>
    <w:p>
      <w:pPr>
        <w:pStyle w:val="5"/>
        <w:spacing w:before="120" w:beforeLines="50" w:after="120" w:afterLines="50"/>
        <w:rPr>
          <w:rFonts w:cs="宋体"/>
          <w:szCs w:val="28"/>
        </w:rPr>
      </w:pPr>
      <w:bookmarkStart w:id="20" w:name="_Toc73521547"/>
      <w:bookmarkStart w:id="21" w:name="_Toc100052364"/>
      <w:bookmarkStart w:id="22" w:name="_Toc60560625"/>
      <w:bookmarkStart w:id="23" w:name="_Toc73517639"/>
      <w:bookmarkStart w:id="24" w:name="_Toc101074876"/>
      <w:bookmarkStart w:id="25" w:name="_Toc73521635"/>
      <w:bookmarkStart w:id="26" w:name="_Toc73518117"/>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初中部新校舍食堂厨杂</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40"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cs="宋体" w:asciiTheme="minorEastAsia" w:hAnsiTheme="minorEastAsia" w:eastAsiaTheme="minorEastAsia"/>
                <w:kern w:val="0"/>
                <w:szCs w:val="21"/>
                <w:lang w:bidi="ar"/>
              </w:rPr>
            </w:pPr>
            <w:r>
              <w:rPr>
                <w:rFonts w:hint="eastAsia" w:ascii="等线" w:hAnsi="等线" w:eastAsia="等线" w:cs="等线"/>
                <w:i w:val="0"/>
                <w:iCs w:val="0"/>
                <w:color w:val="000000"/>
                <w:kern w:val="0"/>
                <w:sz w:val="22"/>
                <w:szCs w:val="22"/>
                <w:u w:val="none"/>
                <w:lang w:val="en-US" w:eastAsia="zh-CN" w:bidi="ar"/>
              </w:rPr>
              <w:t>带盖白大胶桶</w:t>
            </w:r>
          </w:p>
        </w:tc>
        <w:tc>
          <w:tcPr>
            <w:tcW w:w="904"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restart"/>
            <w:vAlign w:val="center"/>
          </w:tcPr>
          <w:p>
            <w:pPr>
              <w:jc w:val="center"/>
              <w:rPr>
                <w:rFonts w:ascii="宋体" w:hAnsi="宋体" w:cs="宋体"/>
                <w:b/>
                <w:szCs w:val="21"/>
              </w:rPr>
            </w:pPr>
            <w:r>
              <w:rPr>
                <w:rFonts w:hint="eastAsia" w:ascii="宋体" w:hAnsi="宋体" w:cs="宋体"/>
                <w:b/>
                <w:szCs w:val="21"/>
              </w:rPr>
              <w:t>1</w:t>
            </w:r>
            <w:r>
              <w:rPr>
                <w:rFonts w:ascii="宋体" w:hAnsi="宋体" w:cs="宋体"/>
                <w:b/>
                <w:szCs w:val="21"/>
              </w:rPr>
              <w:t>7</w:t>
            </w:r>
            <w:r>
              <w:rPr>
                <w:rFonts w:hint="eastAsia" w:ascii="宋体" w:hAnsi="宋体" w:cs="宋体"/>
                <w:b/>
                <w:szCs w:val="21"/>
                <w:lang w:val="en-US" w:eastAsia="zh-CN"/>
              </w:rPr>
              <w:t>0</w:t>
            </w:r>
            <w:r>
              <w:rPr>
                <w:rFonts w:ascii="宋体" w:hAnsi="宋体" w:cs="宋体"/>
                <w:b/>
                <w:szCs w:val="21"/>
              </w:rPr>
              <w:t>000</w:t>
            </w: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砧板（木质）</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水果砧板（大号）</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1号斩切刀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不锈钢片刀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不锈钢砍刀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炒菜汤勺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沥网勺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不锈钢加密格网</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水瓢（4斤）</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不锈钢汤桶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不锈钢菜盆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不锈钢油盆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翻盖垃圾桶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不锈钢锅铲</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打菜勺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不锈钢炸厘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不锈钢留样盒</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粉厘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剪刀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削皮刀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锅扫</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打蛋器</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疏壳</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学生用汤碗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学生用汤匙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学生用餐盘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教工用汤碗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教工用汤匙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教工用餐盘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教工用筷子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温度计</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大竹筛</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面条夹</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长柄打饭勺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蓝色整理框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透明塑料箱</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学生用筷子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传统铸铁特厚大锅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1.8尺特厚锅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30CM 高压锅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煮肉调料包</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调味料无纺布泡茶袋</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食品级304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不锈钢筷子篮</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保鲜膜</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三能烤盘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不锈钢菜夹</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8KG 台称</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台式克称</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垫烤盘油纸</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包</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擀面杖</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支</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耐高温手套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塑料围裙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自动鞋套机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一次性薄膜手套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一次性条形网帽</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防水围裙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条</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牛筋手套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牛筋手套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120升有轮方垃圾桶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洗碗液</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桶</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洗洁精</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件</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宽拖布</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万向轮拖地桶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不锈钢汤桶架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塑料地架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39"/>
        <w:tblW w:w="88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665"/>
        <w:gridCol w:w="2299"/>
        <w:gridCol w:w="1682"/>
        <w:gridCol w:w="4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4" w:hRule="atLeast"/>
          <w:jc w:val="center"/>
        </w:trPr>
        <w:tc>
          <w:tcPr>
            <w:tcW w:w="665"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序号</w:t>
            </w:r>
          </w:p>
        </w:tc>
        <w:tc>
          <w:tcPr>
            <w:tcW w:w="2299"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zh-CN"/>
              </w:rPr>
              <w:t>货物名称</w:t>
            </w:r>
          </w:p>
        </w:tc>
        <w:tc>
          <w:tcPr>
            <w:tcW w:w="1682"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规格尺寸</w:t>
            </w:r>
          </w:p>
        </w:tc>
        <w:tc>
          <w:tcPr>
            <w:tcW w:w="42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bookmarkStart w:id="30" w:name="_GoBack" w:colFirst="2" w:colLast="2"/>
            <w:r>
              <w:rPr>
                <w:rFonts w:hint="eastAsia" w:asciiTheme="minorEastAsia" w:hAnsiTheme="minorEastAsia" w:eastAsiaTheme="minorEastAsia" w:cstheme="minorEastAsia"/>
                <w:sz w:val="21"/>
                <w:szCs w:val="21"/>
              </w:rPr>
              <w:t>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带盖白大胶桶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砧板（木质）</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外加铁箍</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高密度，硬度强，不易开裂，不易起屑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水果砧板（大号）</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白色塑料</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防霉，加厚实心，不易断裂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1号斩切刀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不锈钢片刀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不锈钢砍刀</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绿色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黄色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炒菜汤勺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沥网勺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竹柄隔油</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不锈钢加密格网</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钢密格</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水瓢（4斤）</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不锈钢汤桶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不锈钢菜盆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中号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小号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绿色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黄色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不锈钢油盆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12寸</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翻盖垃圾桶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不锈钢锅铲</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大锅铲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打菜勺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不锈钢炸厘</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不锈钢留样盒</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▲304材质不锈钢留样盒依据GB 4806.9-2016检测要求，进行感官测试和迁移量测试均合格，其中在4%乙酸，煮沸30min，室温放置24h浸泡条件下迁移量结果符合：砷（As）＜0.01mg/kg，镉（Cd）＜0.001mg/kg，铅（Pb）＜0.01mg/kg，铬（Cr）＜0.01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粉厘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剪刀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削皮刀</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锅扫</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竹制</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天然竹材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40*60*2CM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35*50*2CM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打蛋器</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12寸</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疏壳</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学生用汤碗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304#不锈钢双层碗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▲304不锈钢双层碗依据GB 4806.9-2016检测要求，进行感官测试和迁移量测试均合格，其中在4%乙酸，煮沸30min，室温放置24h浸泡条件下迁移量结果符合：砷（As）＜0.01mg/kg，镉（Cd）＜0.001mg/kg，铅（Pb）＜0.01mg/kg，铬（Cr）＜0.01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学生用汤匙</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304#不锈钢汤匙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▲304不锈钢汤匙依据GB 4806.9-2016检测要求，进行感官测试和迁移量测试均合格，其中在4%乙酸，煮沸30min，室温放置24h浸泡条件下迁移量结果符合：砷（As）＜0.01mg/kg，镉（Cd）＜0.001mg/kg，铅（Pb）＜0.01mg/kg，铬（Cr）≤0.02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学生用餐盘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304#不锈钢六格餐盘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▲餐盘通过GB/T 11170-2008《不锈钢 多元素含量的测定 火花放电原子发射光谱法（常规法）》，所检项目符合GB/T  3280-2015《不锈钢冷轧钢板和钢带》判定依据中牌号06Cr19Ni10的要求，不锈钢化学成分检测结果：碳(C)≤0.05%，硫(S)＜0.005%，磷(P)≤0.036%，硅(Si)≤0.34%，8.00%＜镍(Ni)≤8.01%，17.90%＜铬(Cr)＜17.95%，锰(Mn)≤1.08%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教工用汤碗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教工用汤匙</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教工用餐盘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教工用筷子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温度计</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冰箱用</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测量范围:适用于 液体 水温 膏体 面包 肉类 水果 油温 糖浆等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数据保持功能:带摄氏度、华氏度切换按钮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大竹筛</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沥油用</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天然竹材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面条夹</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长柄打饭勺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蓝色整理框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透明塑料箱</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小号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学生用筷子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传统铸铁特厚大锅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大锅铲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加厚生铁锅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1.8尺特厚锅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1.8尺</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加厚生铁锅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30CM 高压锅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一体成型，受热均匀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煮肉调料包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调味料无纺布泡茶袋</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25*35cm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无纺布、便捷抽绳、耐热耐高温，食品级PET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食品级304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不锈钢筷子篮</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37.5x27.5x7.5cm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保鲜膜</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PE材料，超强拉伸力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三能烤盘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60*40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不粘加厚铝烤盘 ，硬度高，抗腐蚀性强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不锈钢菜夹</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8KG 台称</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8KG</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精度高，液晶显示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台式克称</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精度高，液晶显示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垫烤盘油纸</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擀面杖</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优质木材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耐磨、耐高温、隔热性能好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塑料围裙</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自动鞋套机</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ABS工程塑料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一次性薄膜手套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一次性条形网帽</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一次性无纺布，单筋束口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70</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防水围裙</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71</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72</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牛筋手套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L码/100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M码/100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天然橡胶，加厚耐酸碱防水耐磨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72</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牛筋手套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38cm加长款</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天然橡胶，加厚耐酸碱防水耐磨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120升有轮方垃圾桶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洗碗液</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强力清洁，无残留 碱性去油，无油垢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洗洁精</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餐具专用，易清洗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宽拖布</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万向轮拖地桶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环保材料，耐磨硬度强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不锈钢汤桶架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79</w:t>
            </w:r>
          </w:p>
        </w:tc>
        <w:tc>
          <w:tcPr>
            <w:tcW w:w="2299" w:type="dxa"/>
            <w:tcBorders>
              <w:top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塑料地架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1100*1100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bookmarkEnd w:id="30"/>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33562ADE"/>
    <w:rsid w:val="33F52CFD"/>
    <w:rsid w:val="34B23808"/>
    <w:rsid w:val="384055D4"/>
    <w:rsid w:val="3F4113F9"/>
    <w:rsid w:val="40A404FA"/>
    <w:rsid w:val="425060F2"/>
    <w:rsid w:val="45847BA5"/>
    <w:rsid w:val="46410D56"/>
    <w:rsid w:val="469E203D"/>
    <w:rsid w:val="49E80350"/>
    <w:rsid w:val="4BB43D8C"/>
    <w:rsid w:val="4DBA22C3"/>
    <w:rsid w:val="52423785"/>
    <w:rsid w:val="56077DC5"/>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33</Pages>
  <Words>10442</Words>
  <Characters>11157</Characters>
  <Lines>110</Lines>
  <Paragraphs>31</Paragraphs>
  <TotalTime>1</TotalTime>
  <ScaleCrop>false</ScaleCrop>
  <LinksUpToDate>false</LinksUpToDate>
  <CharactersWithSpaces>12729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2022-10-13T09:23:15Z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BB87CA5906FB4AC483E17446EA6854A3</vt:lpwstr>
  </property>
</Properties>
</file>