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hint="default" w:ascii="华文中宋" w:hAnsi="华文中宋" w:eastAsia="华文中宋"/>
          <w:b/>
          <w:bCs/>
          <w:sz w:val="50"/>
          <w:szCs w:val="44"/>
          <w:lang w:val="en-US" w:eastAsia="zh-CN"/>
        </w:rPr>
      </w:pPr>
      <w:r>
        <w:rPr>
          <w:rFonts w:hint="eastAsia" w:ascii="华文中宋" w:hAnsi="华文中宋" w:eastAsia="华文中宋"/>
          <w:b/>
          <w:bCs/>
          <w:sz w:val="50"/>
          <w:szCs w:val="44"/>
        </w:rPr>
        <w:t>深圳实验学校初中部</w:t>
      </w:r>
      <w:r>
        <w:rPr>
          <w:rFonts w:hint="eastAsia" w:ascii="华文中宋" w:hAnsi="华文中宋" w:eastAsia="华文中宋"/>
          <w:b/>
          <w:bCs/>
          <w:sz w:val="50"/>
          <w:szCs w:val="44"/>
          <w:lang w:val="en-US" w:eastAsia="zh-CN"/>
        </w:rPr>
        <w:t>开办消防器材</w:t>
      </w:r>
    </w:p>
    <w:p>
      <w:pPr>
        <w:adjustRightInd w:val="0"/>
        <w:snapToGrid w:val="0"/>
        <w:jc w:val="center"/>
        <w:rPr>
          <w:rFonts w:ascii="华文中宋" w:hAnsi="华文中宋" w:eastAsia="华文中宋"/>
          <w:b/>
          <w:bCs/>
          <w:sz w:val="50"/>
          <w:szCs w:val="44"/>
        </w:rPr>
      </w:pPr>
      <w:r>
        <w:rPr>
          <w:rFonts w:hint="eastAsia" w:ascii="华文中宋" w:hAnsi="华文中宋" w:eastAsia="华文中宋"/>
          <w:b/>
          <w:bCs/>
          <w:sz w:val="50"/>
          <w:szCs w:val="44"/>
        </w:rPr>
        <w:t>项目招标文件</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（项目编号：SZSYCG20220</w:t>
      </w:r>
      <w:r>
        <w:rPr>
          <w:rFonts w:hint="eastAsia" w:ascii="黑体" w:hAnsi="黑体" w:eastAsia="黑体"/>
          <w:sz w:val="28"/>
          <w:szCs w:val="28"/>
          <w:lang w:val="en-US" w:eastAsia="zh-CN"/>
        </w:rPr>
        <w:t>54</w:t>
      </w:r>
      <w:r>
        <w:rPr>
          <w:rFonts w:hint="eastAsia" w:ascii="黑体" w:hAnsi="黑体" w:eastAsia="黑体"/>
          <w:sz w:val="28"/>
          <w:szCs w:val="28"/>
        </w:rPr>
        <w:t>）</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spacing w:after="120" w:afterLines="50" w:line="320" w:lineRule="exact"/>
        <w:jc w:val="center"/>
        <w:rPr>
          <w:rFonts w:ascii="宋体" w:hAnsi="宋体" w:cs="Arial"/>
          <w:b/>
          <w:sz w:val="24"/>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widowControl/>
        <w:jc w:val="center"/>
        <w:rPr>
          <w:rFonts w:ascii="黑体" w:hAnsi="华文中宋" w:eastAsia="黑体" w:cs="Arial"/>
          <w:szCs w:val="21"/>
        </w:rPr>
      </w:pPr>
      <w:r>
        <w:rPr>
          <w:rFonts w:hint="eastAsia" w:ascii="黑体" w:hAnsi="华文中宋" w:eastAsia="黑体" w:cs="Arial"/>
          <w:sz w:val="32"/>
          <w:szCs w:val="32"/>
        </w:rPr>
        <w:t>深圳实验学校</w:t>
      </w:r>
    </w:p>
    <w:p>
      <w:pPr>
        <w:widowControl/>
        <w:spacing w:line="480" w:lineRule="exact"/>
        <w:jc w:val="center"/>
        <w:rPr>
          <w:rFonts w:ascii="宋体" w:hAnsi="宋体" w:cs="宋体"/>
        </w:rPr>
      </w:pPr>
      <w:r>
        <w:rPr>
          <w:rFonts w:hint="eastAsia" w:ascii="黑体" w:hAnsi="华文中宋" w:eastAsia="黑体" w:cs="Arial"/>
          <w:sz w:val="32"/>
          <w:szCs w:val="32"/>
        </w:rPr>
        <w:t>二</w:t>
      </w:r>
      <w:r>
        <w:rPr>
          <w:rFonts w:hint="eastAsia" w:ascii="黑体" w:hAnsi="华文中宋" w:eastAsia="黑体"/>
          <w:sz w:val="28"/>
          <w:szCs w:val="28"/>
        </w:rPr>
        <w:t>○</w:t>
      </w:r>
      <w:r>
        <w:rPr>
          <w:rFonts w:hint="eastAsia" w:ascii="黑体" w:hAnsi="华文中宋" w:eastAsia="黑体" w:cs="Arial"/>
          <w:sz w:val="32"/>
          <w:szCs w:val="32"/>
        </w:rPr>
        <w:t>二二年</w:t>
      </w:r>
      <w:r>
        <w:rPr>
          <w:rFonts w:hint="eastAsia" w:ascii="黑体" w:hAnsi="华文中宋" w:eastAsia="黑体" w:cs="Arial"/>
          <w:sz w:val="32"/>
          <w:szCs w:val="32"/>
          <w:lang w:val="en-US" w:eastAsia="zh-CN"/>
        </w:rPr>
        <w:t>十一</w:t>
      </w:r>
      <w:r>
        <w:rPr>
          <w:rFonts w:hint="eastAsia" w:ascii="黑体" w:hAnsi="华文中宋" w:eastAsia="黑体" w:cs="Arial"/>
          <w:sz w:val="32"/>
          <w:szCs w:val="32"/>
        </w:rPr>
        <w:t>月</w:t>
      </w:r>
      <w:r>
        <w:rPr>
          <w:rFonts w:hint="eastAsia" w:ascii="黑体" w:hAnsi="华文中宋" w:eastAsia="黑体" w:cs="Arial"/>
          <w:sz w:val="32"/>
          <w:szCs w:val="32"/>
          <w:lang w:val="en-US" w:eastAsia="zh-CN"/>
        </w:rPr>
        <w:t>三</w:t>
      </w:r>
      <w:r>
        <w:rPr>
          <w:rFonts w:hint="eastAsia" w:ascii="黑体" w:hAnsi="华文中宋" w:eastAsia="黑体" w:cs="Arial"/>
          <w:sz w:val="32"/>
          <w:szCs w:val="32"/>
        </w:rPr>
        <w:t>日</w:t>
      </w:r>
      <w:r>
        <w:rPr>
          <w:rFonts w:hint="eastAsia" w:ascii="宋体" w:hAnsi="宋体" w:cs="宋体"/>
          <w:sz w:val="32"/>
          <w:szCs w:val="32"/>
        </w:rPr>
        <w:br w:type="page"/>
      </w:r>
    </w:p>
    <w:p>
      <w:pPr>
        <w:pStyle w:val="2"/>
      </w:pPr>
      <w:r>
        <w:rPr>
          <w:rFonts w:hint="eastAsia"/>
        </w:rPr>
        <w:t>第一章  项目评审信息</w:t>
      </w:r>
    </w:p>
    <w:p>
      <w:pPr>
        <w:adjustRightInd w:val="0"/>
        <w:snapToGrid w:val="0"/>
        <w:spacing w:line="360" w:lineRule="auto"/>
        <w:rPr>
          <w:rFonts w:hint="default" w:ascii="宋体" w:hAnsi="宋体" w:cs="宋体"/>
          <w:szCs w:val="21"/>
          <w:lang w:val="en-US" w:eastAsia="zh-CN"/>
        </w:rPr>
      </w:pPr>
      <w:r>
        <w:rPr>
          <w:rFonts w:hint="eastAsia" w:ascii="宋体" w:hAnsi="宋体" w:cs="宋体"/>
          <w:szCs w:val="21"/>
        </w:rPr>
        <w:t xml:space="preserve">      项目编号：  SZSYCG20220</w:t>
      </w:r>
      <w:r>
        <w:rPr>
          <w:rFonts w:hint="eastAsia" w:ascii="宋体" w:hAnsi="宋体" w:cs="宋体"/>
          <w:szCs w:val="21"/>
          <w:lang w:val="en-US" w:eastAsia="zh-CN"/>
        </w:rPr>
        <w:t>53</w:t>
      </w:r>
    </w:p>
    <w:p>
      <w:pPr>
        <w:adjustRightInd w:val="0"/>
        <w:snapToGrid w:val="0"/>
        <w:spacing w:line="360" w:lineRule="auto"/>
        <w:rPr>
          <w:rFonts w:ascii="宋体" w:hAnsi="宋体" w:cs="宋体"/>
          <w:szCs w:val="21"/>
        </w:rPr>
      </w:pPr>
      <w:r>
        <w:rPr>
          <w:rFonts w:hint="eastAsia" w:ascii="宋体" w:hAnsi="宋体" w:cs="宋体"/>
          <w:szCs w:val="21"/>
        </w:rPr>
        <w:t xml:space="preserve">      项目名称：  深圳实验学校初中部</w:t>
      </w:r>
      <w:r>
        <w:rPr>
          <w:rFonts w:hint="eastAsia" w:ascii="宋体" w:hAnsi="宋体" w:cs="宋体"/>
          <w:szCs w:val="21"/>
          <w:lang w:val="en-US" w:eastAsia="zh-CN"/>
        </w:rPr>
        <w:t>开办消防器材</w:t>
      </w:r>
      <w:r>
        <w:rPr>
          <w:rFonts w:hint="eastAsia" w:ascii="宋体" w:hAnsi="宋体" w:cs="宋体"/>
          <w:szCs w:val="21"/>
        </w:rPr>
        <w:t xml:space="preserve">  </w:t>
      </w:r>
    </w:p>
    <w:p>
      <w:pPr>
        <w:adjustRightInd w:val="0"/>
        <w:snapToGrid w:val="0"/>
        <w:spacing w:line="360" w:lineRule="auto"/>
        <w:rPr>
          <w:rFonts w:ascii="宋体" w:hAnsi="宋体" w:cs="宋体"/>
          <w:szCs w:val="21"/>
        </w:rPr>
      </w:pPr>
      <w:r>
        <w:rPr>
          <w:rFonts w:hint="eastAsia" w:ascii="宋体" w:hAnsi="宋体" w:cs="宋体"/>
          <w:szCs w:val="21"/>
        </w:rPr>
        <w:t xml:space="preserve">      项目类型：  货物类</w:t>
      </w:r>
    </w:p>
    <w:p>
      <w:pPr>
        <w:adjustRightInd w:val="0"/>
        <w:snapToGrid w:val="0"/>
        <w:spacing w:line="360" w:lineRule="auto"/>
        <w:rPr>
          <w:rFonts w:ascii="宋体" w:hAnsi="宋体" w:cs="宋体"/>
          <w:szCs w:val="21"/>
        </w:rPr>
      </w:pPr>
      <w:r>
        <w:rPr>
          <w:rFonts w:hint="eastAsia" w:ascii="宋体" w:hAnsi="宋体" w:cs="宋体"/>
          <w:szCs w:val="21"/>
        </w:rPr>
        <w:t xml:space="preserve">      采购方式：  公开招标</w:t>
      </w:r>
    </w:p>
    <w:p>
      <w:pPr>
        <w:adjustRightInd w:val="0"/>
        <w:snapToGrid w:val="0"/>
        <w:spacing w:line="360" w:lineRule="auto"/>
        <w:rPr>
          <w:rFonts w:ascii="宋体" w:hAnsi="宋体" w:cs="宋体"/>
          <w:szCs w:val="21"/>
        </w:rPr>
      </w:pPr>
      <w:r>
        <w:rPr>
          <w:rFonts w:hint="eastAsia" w:ascii="宋体" w:hAnsi="宋体" w:cs="宋体"/>
          <w:szCs w:val="21"/>
        </w:rPr>
        <w:t xml:space="preserve">      货币类型：  人民币</w:t>
      </w:r>
    </w:p>
    <w:p>
      <w:pPr>
        <w:ind w:firstLine="413" w:firstLineChars="196"/>
        <w:rPr>
          <w:rFonts w:ascii="宋体" w:hAnsi="宋体" w:cs="宋体"/>
          <w:b/>
          <w:szCs w:val="21"/>
        </w:rPr>
      </w:pPr>
    </w:p>
    <w:p>
      <w:pPr>
        <w:pStyle w:val="5"/>
        <w:rPr>
          <w:rFonts w:cs="宋体"/>
          <w:szCs w:val="28"/>
        </w:rPr>
      </w:pPr>
      <w:r>
        <w:rPr>
          <w:rFonts w:hint="eastAsia" w:cs="宋体"/>
          <w:szCs w:val="28"/>
        </w:rPr>
        <w:t>投标文件初审表</w:t>
      </w:r>
    </w:p>
    <w:p>
      <w:pPr>
        <w:spacing w:after="86" w:afterLines="36"/>
        <w:jc w:val="center"/>
        <w:rPr>
          <w:rFonts w:ascii="宋体" w:hAnsi="宋体" w:cs="宋体"/>
          <w:b/>
        </w:rPr>
      </w:pPr>
      <w:r>
        <w:rPr>
          <w:rFonts w:hint="eastAsia" w:ascii="宋体" w:hAnsi="宋体" w:cs="宋体"/>
          <w:b/>
        </w:rPr>
        <w:t>（凡有下列情形之一的，投标文件无效，投标作废标处理）</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pPr>
              <w:rPr>
                <w:rFonts w:ascii="宋体" w:hAnsi="宋体" w:cs="宋体"/>
              </w:rPr>
            </w:pPr>
            <w:r>
              <w:rPr>
                <w:rFonts w:hint="eastAsia" w:ascii="宋体" w:hAnsi="宋体" w:cs="宋体"/>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1</w:t>
            </w:r>
          </w:p>
        </w:tc>
        <w:tc>
          <w:tcPr>
            <w:tcW w:w="7988" w:type="dxa"/>
            <w:vAlign w:val="center"/>
          </w:tcPr>
          <w:p>
            <w:pPr>
              <w:rPr>
                <w:rFonts w:ascii="宋体" w:hAnsi="宋体" w:cs="宋体"/>
                <w:b/>
              </w:rPr>
            </w:pPr>
            <w:r>
              <w:rPr>
                <w:rFonts w:hint="eastAsia" w:ascii="宋体" w:hAnsi="宋体" w:cs="宋体"/>
                <w:b/>
              </w:rPr>
              <w:t>投标人不具备招标文件所列的资格要求，或未提交相应的资格证明资料（详见招标公告投标人资格要求）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pPr>
              <w:rPr>
                <w:rFonts w:ascii="宋体" w:hAnsi="宋体" w:cs="宋体"/>
              </w:rPr>
            </w:pPr>
            <w:r>
              <w:rPr>
                <w:rFonts w:hint="eastAsia" w:ascii="宋体" w:hAnsi="宋体" w:cs="宋体"/>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2</w:t>
            </w:r>
          </w:p>
        </w:tc>
        <w:tc>
          <w:tcPr>
            <w:tcW w:w="7988" w:type="dxa"/>
            <w:vAlign w:val="center"/>
          </w:tcPr>
          <w:p>
            <w:pPr>
              <w:rPr>
                <w:rFonts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3</w:t>
            </w:r>
          </w:p>
        </w:tc>
        <w:tc>
          <w:tcPr>
            <w:tcW w:w="7988" w:type="dxa"/>
            <w:vAlign w:val="center"/>
          </w:tcPr>
          <w:p>
            <w:pPr>
              <w:rPr>
                <w:rFonts w:ascii="宋体" w:hAnsi="宋体" w:cs="宋体"/>
              </w:rPr>
            </w:pPr>
            <w:r>
              <w:rPr>
                <w:rFonts w:hint="eastAsia" w:ascii="宋体" w:hAnsi="宋体" w:cs="宋体"/>
                <w:b/>
              </w:rPr>
              <w:t>《技术规格偏离表》或《商务需求偏离表》填写不全或不实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4</w:t>
            </w:r>
          </w:p>
        </w:tc>
        <w:tc>
          <w:tcPr>
            <w:tcW w:w="7988" w:type="dxa"/>
            <w:vAlign w:val="center"/>
          </w:tcPr>
          <w:p>
            <w:pPr>
              <w:rPr>
                <w:rFonts w:ascii="宋体" w:hAnsi="宋体" w:cs="宋体"/>
              </w:rPr>
            </w:pPr>
            <w:r>
              <w:rPr>
                <w:rFonts w:hint="eastAsia" w:ascii="宋体" w:hAnsi="宋体" w:cs="宋体"/>
              </w:rPr>
              <w:t>投标总价高于预算限额的或报价低于其成本且不能做出合理说明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5</w:t>
            </w:r>
          </w:p>
        </w:tc>
        <w:tc>
          <w:tcPr>
            <w:tcW w:w="7988" w:type="dxa"/>
            <w:vAlign w:val="center"/>
          </w:tcPr>
          <w:p>
            <w:pPr>
              <w:rPr>
                <w:rFonts w:ascii="宋体" w:hAnsi="宋体" w:cs="宋体"/>
              </w:rPr>
            </w:pPr>
            <w:r>
              <w:rPr>
                <w:rFonts w:hint="eastAsia" w:ascii="宋体" w:hAnsi="宋体" w:cs="宋体"/>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6</w:t>
            </w:r>
          </w:p>
        </w:tc>
        <w:tc>
          <w:tcPr>
            <w:tcW w:w="7988" w:type="dxa"/>
            <w:vAlign w:val="center"/>
          </w:tcPr>
          <w:p>
            <w:pPr>
              <w:rPr>
                <w:rFonts w:ascii="宋体" w:hAnsi="宋体" w:cs="宋体"/>
              </w:rPr>
            </w:pPr>
            <w:r>
              <w:rPr>
                <w:rFonts w:hint="eastAsia" w:ascii="宋体" w:hAnsi="宋体" w:cs="宋体"/>
                <w:b/>
              </w:rPr>
              <w:t>投标文件载明的交货期超过招标文件规定的期限</w:t>
            </w:r>
            <w:r>
              <w:rPr>
                <w:rFonts w:hint="eastAsia" w:ascii="宋体" w:hAnsi="宋体" w:cs="宋体"/>
                <w:b/>
                <w:color w:val="FF0000"/>
              </w:rPr>
              <w:t>或</w:t>
            </w:r>
            <w:r>
              <w:rPr>
                <w:rFonts w:hint="eastAsia" w:ascii="宋体" w:hAnsi="宋体" w:cs="宋体"/>
                <w:b/>
              </w:rPr>
              <w:t>免费保修期低于招标文件规定的期限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7</w:t>
            </w:r>
          </w:p>
        </w:tc>
        <w:tc>
          <w:tcPr>
            <w:tcW w:w="7988" w:type="dxa"/>
            <w:vAlign w:val="center"/>
          </w:tcPr>
          <w:p>
            <w:pPr>
              <w:rPr>
                <w:rFonts w:ascii="宋体" w:hAnsi="宋体" w:cs="宋体"/>
              </w:rPr>
            </w:pPr>
            <w:r>
              <w:rPr>
                <w:rFonts w:hint="eastAsia" w:ascii="宋体" w:hAnsi="宋体" w:cs="宋体"/>
              </w:rPr>
              <w:t>所投产品、工程、服务在质量、技术、方案等方面没有实质性满足招标文件要求</w:t>
            </w:r>
          </w:p>
        </w:tc>
      </w:tr>
    </w:tbl>
    <w:p>
      <w:pPr>
        <w:rPr>
          <w:rFonts w:ascii="宋体" w:hAnsi="宋体" w:cs="宋体"/>
        </w:rPr>
      </w:pPr>
    </w:p>
    <w:p>
      <w:pPr>
        <w:rPr>
          <w:rFonts w:ascii="宋体" w:hAnsi="宋体" w:cs="宋体"/>
        </w:rPr>
      </w:pPr>
    </w:p>
    <w:p>
      <w:pPr>
        <w:pStyle w:val="5"/>
        <w:rPr>
          <w:rFonts w:cs="宋体"/>
          <w:szCs w:val="28"/>
        </w:rPr>
      </w:pPr>
      <w:r>
        <w:rPr>
          <w:rFonts w:hint="eastAsia" w:cs="宋体"/>
          <w:szCs w:val="28"/>
        </w:rPr>
        <w:t>评标信息</w:t>
      </w:r>
    </w:p>
    <w:p>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 </w:t>
      </w:r>
      <w:r>
        <w:rPr>
          <w:rFonts w:hint="eastAsia" w:ascii="宋体" w:hAnsi="宋体" w:cs="宋体"/>
          <w:szCs w:val="21"/>
        </w:rPr>
        <w:t>法。本项目推荐候选中标供应商数量为</w:t>
      </w:r>
      <w:r>
        <w:rPr>
          <w:rFonts w:hint="eastAsia" w:ascii="宋体" w:hAnsi="宋体" w:cs="宋体"/>
          <w:b/>
          <w:szCs w:val="21"/>
          <w:u w:val="single"/>
        </w:rPr>
        <w:t xml:space="preserve"> </w:t>
      </w:r>
      <w:r>
        <w:rPr>
          <w:rFonts w:ascii="宋体" w:hAnsi="宋体" w:cs="宋体"/>
          <w:b/>
          <w:szCs w:val="21"/>
          <w:u w:val="single"/>
        </w:rPr>
        <w:t>2</w:t>
      </w:r>
      <w:r>
        <w:rPr>
          <w:rFonts w:hint="eastAsia" w:ascii="宋体" w:hAnsi="宋体" w:cs="宋体"/>
          <w:b/>
          <w:szCs w:val="21"/>
          <w:u w:val="single"/>
        </w:rPr>
        <w:t xml:space="preserve"> </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pPr>
        <w:pStyle w:val="5"/>
        <w:jc w:val="both"/>
        <w:rPr>
          <w:rFonts w:cs="宋体"/>
        </w:rPr>
      </w:pPr>
      <w:bookmarkStart w:id="1" w:name="OLE_LINK3"/>
      <w:bookmarkStart w:id="2" w:name="OLE_LINK4"/>
      <w:r>
        <w:rPr>
          <w:rFonts w:hint="eastAsia" w:cs="宋体"/>
        </w:rPr>
        <w:t>评标方法</w:t>
      </w:r>
    </w:p>
    <w:p>
      <w:pPr>
        <w:adjustRightInd w:val="0"/>
        <w:snapToGrid w:val="0"/>
        <w:spacing w:line="360" w:lineRule="auto"/>
        <w:ind w:firstLine="420" w:firstLineChars="200"/>
        <w:rPr>
          <w:rFonts w:ascii="宋体" w:hAnsi="宋体" w:cs="宋体"/>
        </w:rPr>
      </w:pPr>
      <w:r>
        <w:rPr>
          <w:rFonts w:hint="eastAsia" w:ascii="宋体" w:hAnsi="宋体" w:cs="宋体"/>
        </w:rPr>
        <w:t>综合评分法</w:t>
      </w:r>
    </w:p>
    <w:p>
      <w:pPr>
        <w:adjustRightInd w:val="0"/>
        <w:snapToGrid w:val="0"/>
        <w:spacing w:line="360" w:lineRule="auto"/>
        <w:ind w:firstLine="420" w:firstLineChars="200"/>
        <w:rPr>
          <w:rFonts w:ascii="宋体" w:hAnsi="宋体" w:cs="宋体"/>
        </w:rPr>
      </w:pPr>
      <w:r>
        <w:rPr>
          <w:rFonts w:hint="eastAsia" w:ascii="宋体" w:hAnsi="宋体" w:cs="宋体"/>
        </w:rPr>
        <w:t>评标方法说明：</w:t>
      </w:r>
    </w:p>
    <w:p>
      <w:pPr>
        <w:adjustRightInd w:val="0"/>
        <w:snapToGrid w:val="0"/>
        <w:spacing w:line="360" w:lineRule="auto"/>
        <w:ind w:firstLine="420" w:firstLineChars="200"/>
        <w:rPr>
          <w:rFonts w:ascii="宋体" w:hAnsi="宋体" w:cs="宋体"/>
        </w:rPr>
      </w:pPr>
      <w:r>
        <w:rPr>
          <w:rFonts w:hint="eastAsia" w:ascii="宋体" w:hAnsi="宋体" w:cs="宋体"/>
        </w:rPr>
        <w:t>价格分=[1-（投标报价-最低价）/最低价]×价格权重×100</w:t>
      </w:r>
    </w:p>
    <w:p>
      <w:pPr>
        <w:adjustRightInd w:val="0"/>
        <w:snapToGrid w:val="0"/>
        <w:spacing w:line="360" w:lineRule="auto"/>
        <w:ind w:firstLine="420"/>
        <w:rPr>
          <w:rFonts w:ascii="宋体" w:hAnsi="宋体" w:cs="宋体"/>
        </w:rPr>
      </w:pPr>
      <w:r>
        <w:rPr>
          <w:rFonts w:hint="eastAsia" w:ascii="宋体" w:hAnsi="宋体" w:cs="宋体"/>
        </w:rPr>
        <w:t>当价格分&lt;0时，取0。</w:t>
      </w:r>
    </w:p>
    <w:tbl>
      <w:tblPr>
        <w:tblStyle w:val="39"/>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09"/>
        <w:gridCol w:w="1559"/>
        <w:gridCol w:w="709"/>
        <w:gridCol w:w="1162"/>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序号</w:t>
            </w:r>
          </w:p>
        </w:tc>
        <w:tc>
          <w:tcPr>
            <w:tcW w:w="4139" w:type="dxa"/>
            <w:gridSpan w:val="4"/>
            <w:vAlign w:val="center"/>
          </w:tcPr>
          <w:p>
            <w:pPr>
              <w:spacing w:line="240" w:lineRule="exact"/>
              <w:jc w:val="center"/>
              <w:rPr>
                <w:rFonts w:ascii="宋体" w:hAnsi="宋体"/>
                <w:szCs w:val="21"/>
              </w:rPr>
            </w:pPr>
            <w:r>
              <w:rPr>
                <w:rFonts w:hint="eastAsia" w:ascii="宋体" w:hAnsi="宋体"/>
                <w:szCs w:val="21"/>
              </w:rPr>
              <w:t>评分项</w:t>
            </w:r>
          </w:p>
        </w:tc>
        <w:tc>
          <w:tcPr>
            <w:tcW w:w="3295" w:type="dxa"/>
            <w:vAlign w:val="center"/>
          </w:tcPr>
          <w:p>
            <w:pPr>
              <w:spacing w:line="240" w:lineRule="exact"/>
              <w:jc w:val="center"/>
              <w:rPr>
                <w:rFonts w:ascii="宋体" w:hAnsi="宋体"/>
                <w:szCs w:val="21"/>
              </w:rPr>
            </w:pPr>
            <w:r>
              <w:rPr>
                <w:rFonts w:hint="eastAsia" w:ascii="宋体" w:hAnsi="宋体"/>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1</w:t>
            </w:r>
          </w:p>
        </w:tc>
        <w:tc>
          <w:tcPr>
            <w:tcW w:w="4139" w:type="dxa"/>
            <w:gridSpan w:val="4"/>
            <w:vAlign w:val="center"/>
          </w:tcPr>
          <w:p>
            <w:pPr>
              <w:spacing w:line="240" w:lineRule="exact"/>
              <w:jc w:val="center"/>
              <w:rPr>
                <w:rFonts w:ascii="宋体" w:hAnsi="宋体"/>
                <w:szCs w:val="21"/>
              </w:rPr>
            </w:pPr>
            <w:r>
              <w:rPr>
                <w:rFonts w:hint="eastAsia" w:ascii="宋体" w:hAnsi="宋体"/>
                <w:szCs w:val="21"/>
              </w:rPr>
              <w:t>价格</w:t>
            </w:r>
          </w:p>
        </w:tc>
        <w:tc>
          <w:tcPr>
            <w:tcW w:w="3295" w:type="dxa"/>
            <w:vAlign w:val="center"/>
          </w:tcPr>
          <w:p>
            <w:pPr>
              <w:spacing w:line="240" w:lineRule="exact"/>
              <w:jc w:val="center"/>
              <w:rPr>
                <w:rFonts w:ascii="宋体" w:hAnsi="宋体"/>
                <w:szCs w:val="21"/>
              </w:rPr>
            </w:pPr>
            <w:r>
              <w:rPr>
                <w:rFonts w:hint="eastAsia" w:ascii="宋体" w:hAnsi="宋体"/>
                <w:szCs w:val="21"/>
              </w:rPr>
              <w:t>3</w:t>
            </w:r>
            <w:r>
              <w:rPr>
                <w:rFonts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2</w:t>
            </w:r>
          </w:p>
        </w:tc>
        <w:tc>
          <w:tcPr>
            <w:tcW w:w="4139" w:type="dxa"/>
            <w:gridSpan w:val="4"/>
            <w:vAlign w:val="center"/>
          </w:tcPr>
          <w:p>
            <w:pPr>
              <w:spacing w:line="240" w:lineRule="exact"/>
              <w:jc w:val="center"/>
              <w:rPr>
                <w:rFonts w:ascii="宋体" w:hAnsi="宋体"/>
                <w:szCs w:val="21"/>
              </w:rPr>
            </w:pPr>
            <w:r>
              <w:rPr>
                <w:rFonts w:hint="eastAsia" w:ascii="宋体" w:hAnsi="宋体"/>
                <w:szCs w:val="21"/>
              </w:rPr>
              <w:t>技术部分</w:t>
            </w:r>
          </w:p>
        </w:tc>
        <w:tc>
          <w:tcPr>
            <w:tcW w:w="3295" w:type="dxa"/>
            <w:vAlign w:val="center"/>
          </w:tcPr>
          <w:p>
            <w:pPr>
              <w:spacing w:line="240" w:lineRule="exact"/>
              <w:jc w:val="center"/>
              <w:rPr>
                <w:rFonts w:ascii="宋体" w:hAnsi="宋体"/>
                <w:szCs w:val="21"/>
              </w:rPr>
            </w:pPr>
            <w:r>
              <w:rPr>
                <w:rFonts w:hint="eastAsia" w:ascii="宋体" w:hAnsi="宋体"/>
                <w:szCs w:val="21"/>
              </w:rPr>
              <w:t>5</w:t>
            </w: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技术保障措施</w:t>
            </w:r>
          </w:p>
        </w:tc>
        <w:tc>
          <w:tcPr>
            <w:tcW w:w="709" w:type="dxa"/>
            <w:vAlign w:val="center"/>
          </w:tcPr>
          <w:p>
            <w:pPr>
              <w:spacing w:line="240" w:lineRule="exact"/>
              <w:jc w:val="center"/>
              <w:rPr>
                <w:rFonts w:ascii="宋体" w:hAnsi="宋体"/>
                <w:szCs w:val="21"/>
              </w:rPr>
            </w:pPr>
            <w:r>
              <w:rPr>
                <w:rFonts w:ascii="宋体" w:hAnsi="宋体"/>
                <w:szCs w:val="21"/>
              </w:rPr>
              <w:t>4</w:t>
            </w:r>
          </w:p>
        </w:tc>
        <w:tc>
          <w:tcPr>
            <w:tcW w:w="1162" w:type="dxa"/>
            <w:vAlign w:val="center"/>
          </w:tcPr>
          <w:p>
            <w:pPr>
              <w:spacing w:line="240" w:lineRule="exact"/>
              <w:jc w:val="center"/>
              <w:rPr>
                <w:rFonts w:ascii="宋体" w:hAnsi="宋体"/>
                <w:szCs w:val="21"/>
              </w:rPr>
            </w:pPr>
            <w:r>
              <w:rPr>
                <w:rFonts w:hint="eastAsia" w:ascii="宋体" w:hAnsi="宋体"/>
                <w:szCs w:val="21"/>
              </w:rPr>
              <w:t>专家打分</w:t>
            </w:r>
          </w:p>
        </w:tc>
        <w:tc>
          <w:tcPr>
            <w:tcW w:w="3295" w:type="dxa"/>
            <w:vAlign w:val="center"/>
          </w:tcPr>
          <w:p>
            <w:pPr>
              <w:spacing w:line="240" w:lineRule="exact"/>
              <w:rPr>
                <w:rFonts w:ascii="宋体" w:hAnsi="宋体"/>
                <w:szCs w:val="21"/>
              </w:rPr>
            </w:pPr>
            <w:r>
              <w:rPr>
                <w:rFonts w:hint="eastAsia" w:ascii="宋体" w:hAnsi="宋体" w:cs="宋体"/>
              </w:rPr>
              <w:t>在投标文件中详细说明保障措施（包括技术团队、技术方案、技术人员、场地、车辆等），评审委员会根据响应情况进行横向比较，按优</w:t>
            </w:r>
            <w:r>
              <w:rPr>
                <w:rFonts w:ascii="宋体" w:hAnsi="宋体" w:cs="宋体"/>
              </w:rPr>
              <w:t>4</w:t>
            </w:r>
            <w:r>
              <w:rPr>
                <w:rFonts w:hint="eastAsia" w:ascii="宋体" w:hAnsi="宋体" w:cs="宋体"/>
              </w:rPr>
              <w:t>分，良</w:t>
            </w:r>
            <w:r>
              <w:rPr>
                <w:rFonts w:ascii="宋体" w:hAnsi="宋体" w:cs="宋体"/>
              </w:rPr>
              <w:t>2</w:t>
            </w:r>
            <w:r>
              <w:rPr>
                <w:rFonts w:hint="eastAsia" w:ascii="宋体" w:hAnsi="宋体" w:cs="宋体"/>
              </w:rPr>
              <w:t>分，中</w:t>
            </w:r>
            <w:r>
              <w:rPr>
                <w:rFonts w:ascii="宋体" w:hAnsi="宋体" w:cs="宋体"/>
              </w:rPr>
              <w:t>1</w:t>
            </w:r>
            <w:r>
              <w:rPr>
                <w:rFonts w:hint="eastAsia" w:ascii="宋体" w:hAnsi="宋体" w:cs="宋体"/>
              </w:rPr>
              <w:t>分，差</w:t>
            </w:r>
            <w:r>
              <w:rPr>
                <w:rFonts w:ascii="宋体" w:cs="宋体"/>
              </w:rPr>
              <w:t>0</w:t>
            </w:r>
            <w:r>
              <w:rPr>
                <w:rFonts w:hint="eastAsia" w:ascii="宋体" w:hAnsi="宋体" w:cs="宋体"/>
              </w:rPr>
              <w:t>分打分。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after="160" w:line="240" w:lineRule="exact"/>
              <w:jc w:val="center"/>
              <w:rPr>
                <w:rFonts w:ascii="宋体" w:hAnsi="宋体" w:eastAsia="仿宋_GB2312"/>
                <w:sz w:val="24"/>
                <w:szCs w:val="21"/>
              </w:rPr>
            </w:pPr>
          </w:p>
        </w:tc>
        <w:tc>
          <w:tcPr>
            <w:tcW w:w="709" w:type="dxa"/>
            <w:vAlign w:val="center"/>
          </w:tcPr>
          <w:p>
            <w:pPr>
              <w:spacing w:after="160" w:line="240" w:lineRule="exact"/>
              <w:jc w:val="center"/>
              <w:rPr>
                <w:rFonts w:ascii="宋体" w:hAnsi="宋体" w:eastAsia="仿宋_GB2312"/>
                <w:sz w:val="24"/>
                <w:szCs w:val="21"/>
              </w:rPr>
            </w:pPr>
            <w:r>
              <w:rPr>
                <w:rFonts w:ascii="宋体" w:hAnsi="宋体" w:eastAsia="仿宋_GB2312"/>
                <w:sz w:val="24"/>
                <w:szCs w:val="21"/>
              </w:rPr>
              <w:t>2</w:t>
            </w:r>
          </w:p>
        </w:tc>
        <w:tc>
          <w:tcPr>
            <w:tcW w:w="1559" w:type="dxa"/>
            <w:vAlign w:val="center"/>
          </w:tcPr>
          <w:p>
            <w:pPr>
              <w:spacing w:line="240" w:lineRule="exact"/>
              <w:jc w:val="center"/>
              <w:rPr>
                <w:rFonts w:ascii="宋体" w:hAnsi="宋体"/>
                <w:szCs w:val="21"/>
              </w:rPr>
            </w:pPr>
            <w:r>
              <w:rPr>
                <w:rFonts w:hint="eastAsia" w:ascii="宋体" w:hAnsi="宋体" w:cs="宋体"/>
                <w:kern w:val="0"/>
              </w:rPr>
              <w:t>技术规格偏离情况</w:t>
            </w:r>
          </w:p>
        </w:tc>
        <w:tc>
          <w:tcPr>
            <w:tcW w:w="709" w:type="dxa"/>
            <w:vAlign w:val="center"/>
          </w:tcPr>
          <w:p>
            <w:pPr>
              <w:spacing w:after="160" w:line="240" w:lineRule="exact"/>
              <w:jc w:val="center"/>
              <w:rPr>
                <w:rFonts w:ascii="宋体" w:hAnsi="宋体" w:eastAsia="仿宋_GB2312"/>
                <w:szCs w:val="21"/>
              </w:rPr>
            </w:pPr>
            <w:r>
              <w:rPr>
                <w:rFonts w:ascii="宋体" w:hAnsi="宋体" w:cs="宋体"/>
              </w:rPr>
              <w:t>48</w:t>
            </w:r>
          </w:p>
        </w:tc>
        <w:tc>
          <w:tcPr>
            <w:tcW w:w="1162" w:type="dxa"/>
            <w:vAlign w:val="center"/>
          </w:tcPr>
          <w:p>
            <w:pPr>
              <w:spacing w:after="160" w:line="240" w:lineRule="exact"/>
              <w:jc w:val="center"/>
              <w:rPr>
                <w:rFonts w:ascii="宋体" w:hAnsi="宋体" w:eastAsia="仿宋_GB2312"/>
                <w:sz w:val="24"/>
                <w:szCs w:val="21"/>
              </w:rPr>
            </w:pPr>
            <w:r>
              <w:rPr>
                <w:rFonts w:hint="eastAsia" w:ascii="宋体" w:hAnsi="宋体"/>
                <w:szCs w:val="21"/>
              </w:rPr>
              <w:t>专家打分</w:t>
            </w:r>
          </w:p>
        </w:tc>
        <w:tc>
          <w:tcPr>
            <w:tcW w:w="3295" w:type="dxa"/>
            <w:vAlign w:val="center"/>
          </w:tcPr>
          <w:p>
            <w:pPr>
              <w:widowControl/>
              <w:jc w:val="left"/>
              <w:rPr>
                <w:rFonts w:ascii="宋体" w:hAnsi="宋体"/>
                <w:szCs w:val="21"/>
              </w:rPr>
            </w:pPr>
            <w:r>
              <w:rPr>
                <w:rFonts w:hint="eastAsia" w:cs="宋体"/>
              </w:rPr>
              <w:t>投标人应如实填写《技术规格偏离表》，评审委员会根据技术需求参数响应情况进行打分，各项技术参数指标及要求全部满足的得</w:t>
            </w:r>
            <w:r>
              <w:rPr>
                <w:rFonts w:hint="eastAsia"/>
              </w:rPr>
              <w:t>48</w:t>
            </w:r>
            <w:r>
              <w:rPr>
                <w:rFonts w:hint="eastAsia" w:cs="宋体"/>
              </w:rPr>
              <w:t>分，带“</w:t>
            </w:r>
            <w:r>
              <w:rPr>
                <w:rFonts w:hint="eastAsia"/>
              </w:rPr>
              <w:t>▲</w:t>
            </w:r>
            <w:r>
              <w:rPr>
                <w:rFonts w:hint="eastAsia" w:cs="宋体"/>
              </w:rPr>
              <w:t>”指标，每负偏离一项扣</w:t>
            </w:r>
            <w:r>
              <w:rPr>
                <w:color w:val="FF0000"/>
              </w:rPr>
              <w:t>5</w:t>
            </w:r>
            <w:r>
              <w:rPr>
                <w:rFonts w:hint="eastAsia" w:cs="宋体"/>
              </w:rPr>
              <w:t>分，其余指标每负偏离一项扣</w:t>
            </w:r>
            <w:r>
              <w:rPr>
                <w:rFonts w:hint="eastAsia"/>
                <w:color w:val="FF0000"/>
              </w:rPr>
              <w:t>3</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3</w:t>
            </w:r>
          </w:p>
        </w:tc>
        <w:tc>
          <w:tcPr>
            <w:tcW w:w="4139" w:type="dxa"/>
            <w:gridSpan w:val="4"/>
            <w:vAlign w:val="center"/>
          </w:tcPr>
          <w:p>
            <w:pPr>
              <w:spacing w:line="240" w:lineRule="exact"/>
              <w:jc w:val="center"/>
              <w:rPr>
                <w:rFonts w:ascii="宋体" w:hAnsi="宋体"/>
                <w:szCs w:val="21"/>
              </w:rPr>
            </w:pPr>
            <w:r>
              <w:rPr>
                <w:rFonts w:hint="eastAsia" w:ascii="宋体" w:hAnsi="宋体"/>
                <w:szCs w:val="21"/>
              </w:rPr>
              <w:t>商务需求</w:t>
            </w:r>
          </w:p>
        </w:tc>
        <w:tc>
          <w:tcPr>
            <w:tcW w:w="3295" w:type="dxa"/>
            <w:vAlign w:val="center"/>
          </w:tcPr>
          <w:p>
            <w:pPr>
              <w:spacing w:line="240" w:lineRule="exact"/>
              <w:jc w:val="center"/>
              <w:rPr>
                <w:rFonts w:ascii="宋体" w:hAnsi="宋体"/>
                <w:szCs w:val="21"/>
              </w:rPr>
            </w:pPr>
            <w:r>
              <w:rPr>
                <w:rFonts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免费保修期内售后服务条款偏离情况</w:t>
            </w:r>
          </w:p>
        </w:tc>
        <w:tc>
          <w:tcPr>
            <w:tcW w:w="709" w:type="dxa"/>
            <w:vAlign w:val="center"/>
          </w:tcPr>
          <w:p>
            <w:pPr>
              <w:spacing w:line="240" w:lineRule="exact"/>
              <w:jc w:val="center"/>
              <w:rPr>
                <w:rFonts w:ascii="宋体" w:hAnsi="宋体"/>
                <w:szCs w:val="21"/>
              </w:rPr>
            </w:pPr>
            <w:r>
              <w:rPr>
                <w:rFonts w:hint="eastAsia"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投标人应如实填写《免费保修期内售后服务条款偏离表》，评审委员会根据响应情况进行打分，全部满足要求的得</w:t>
            </w:r>
            <w:r>
              <w:t>5</w:t>
            </w:r>
            <w:r>
              <w:rPr>
                <w:rFonts w:hint="eastAsia" w:cs="宋体"/>
              </w:rPr>
              <w:t>，每负偏离一项扣</w:t>
            </w:r>
            <w:r>
              <w:rPr>
                <w:color w:val="FF0000"/>
              </w:rPr>
              <w:t>3</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其他商务条款偏离情况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投标人应如实填写《其他商务条款偏离表》，评审委员会根据响应情况进行打分，全部满足要求的得</w:t>
            </w:r>
            <w:r>
              <w:t>3</w:t>
            </w:r>
            <w:r>
              <w:rPr>
                <w:rFonts w:hint="eastAsia" w:cs="宋体"/>
              </w:rPr>
              <w:t>分，每负偏离一项扣</w:t>
            </w:r>
            <w:r>
              <w:rPr>
                <w:color w:val="FF0000"/>
              </w:rPr>
              <w:t>2</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4</w:t>
            </w:r>
          </w:p>
        </w:tc>
        <w:tc>
          <w:tcPr>
            <w:tcW w:w="4139" w:type="dxa"/>
            <w:gridSpan w:val="4"/>
            <w:vAlign w:val="center"/>
          </w:tcPr>
          <w:p>
            <w:pPr>
              <w:spacing w:line="240" w:lineRule="exact"/>
              <w:jc w:val="center"/>
              <w:rPr>
                <w:rFonts w:ascii="宋体" w:hAnsi="宋体"/>
                <w:szCs w:val="21"/>
              </w:rPr>
            </w:pPr>
            <w:r>
              <w:rPr>
                <w:rFonts w:hint="eastAsia" w:ascii="宋体" w:hAnsi="宋体"/>
                <w:szCs w:val="21"/>
              </w:rPr>
              <w:t>综合实力部分</w:t>
            </w:r>
          </w:p>
        </w:tc>
        <w:tc>
          <w:tcPr>
            <w:tcW w:w="3295" w:type="dxa"/>
            <w:vAlign w:val="center"/>
          </w:tcPr>
          <w:p>
            <w:pPr>
              <w:snapToGrid w:val="0"/>
              <w:spacing w:line="300" w:lineRule="auto"/>
              <w:jc w:val="cente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投标人近三年同类业绩（截止日为本项目公告发布之日）</w:t>
            </w:r>
          </w:p>
        </w:tc>
        <w:tc>
          <w:tcPr>
            <w:tcW w:w="709" w:type="dxa"/>
            <w:vAlign w:val="center"/>
          </w:tcPr>
          <w:p>
            <w:pPr>
              <w:spacing w:line="240" w:lineRule="exact"/>
              <w:jc w:val="center"/>
              <w:rPr>
                <w:rFonts w:ascii="宋体" w:hAnsi="宋体"/>
                <w:szCs w:val="21"/>
              </w:rPr>
            </w:pPr>
            <w:r>
              <w:rPr>
                <w:rFonts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每提供</w:t>
            </w:r>
            <w:r>
              <w:rPr>
                <w:rFonts w:ascii="宋体" w:hAnsi="宋体"/>
                <w:szCs w:val="21"/>
              </w:rPr>
              <w:t>1</w:t>
            </w:r>
            <w:r>
              <w:rPr>
                <w:rFonts w:hint="eastAsia" w:ascii="宋体" w:hAnsi="宋体"/>
                <w:szCs w:val="21"/>
              </w:rPr>
              <w:t>个同类业绩即得</w:t>
            </w:r>
            <w:r>
              <w:rPr>
                <w:rFonts w:ascii="宋体" w:hAnsi="宋体"/>
                <w:szCs w:val="21"/>
              </w:rPr>
              <w:t>1</w:t>
            </w:r>
            <w:r>
              <w:rPr>
                <w:rFonts w:hint="eastAsia" w:ascii="宋体" w:hAnsi="宋体"/>
                <w:szCs w:val="21"/>
              </w:rPr>
              <w:t>分，满分</w:t>
            </w:r>
            <w:r>
              <w:rPr>
                <w:rFonts w:ascii="宋体" w:hAnsi="宋体"/>
                <w:szCs w:val="21"/>
              </w:rPr>
              <w:t>5</w:t>
            </w:r>
            <w:r>
              <w:rPr>
                <w:rFonts w:hint="eastAsia" w:ascii="宋体" w:hAnsi="宋体"/>
                <w:szCs w:val="21"/>
              </w:rPr>
              <w:t>分。投标人必须在投标文件中提供每一个完工项目的合同关键页复印件，否则不得分。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投标人获市级以上政府荣誉及通过相关认证情况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考察内容：投标人提供市级以上政府荣誉证书、业内权威认证证书扫描件（加盖投标人公章）。每提供1个得</w:t>
            </w:r>
            <w:r>
              <w:rPr>
                <w:rFonts w:ascii="宋体" w:hAnsi="宋体"/>
                <w:szCs w:val="21"/>
              </w:rPr>
              <w:t>1</w:t>
            </w:r>
            <w:r>
              <w:rPr>
                <w:rFonts w:hint="eastAsia" w:ascii="宋体" w:hAnsi="宋体"/>
                <w:szCs w:val="21"/>
              </w:rPr>
              <w:t>分，最多</w:t>
            </w:r>
            <w:r>
              <w:rPr>
                <w:rFonts w:ascii="宋体" w:hAnsi="宋体"/>
                <w:szCs w:val="21"/>
              </w:rPr>
              <w:t>3</w:t>
            </w:r>
            <w:r>
              <w:rPr>
                <w:rFonts w:hint="eastAsia" w:ascii="宋体" w:hAnsi="宋体"/>
                <w:szCs w:val="21"/>
              </w:rPr>
              <w:t>分.没有提供的不得分。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3</w:t>
            </w:r>
          </w:p>
        </w:tc>
        <w:tc>
          <w:tcPr>
            <w:tcW w:w="1559" w:type="dxa"/>
            <w:vAlign w:val="center"/>
          </w:tcPr>
          <w:p>
            <w:pPr>
              <w:spacing w:line="240" w:lineRule="exact"/>
              <w:jc w:val="center"/>
              <w:rPr>
                <w:rFonts w:ascii="宋体" w:hAnsi="宋体"/>
                <w:szCs w:val="21"/>
              </w:rPr>
            </w:pPr>
            <w:r>
              <w:rPr>
                <w:rFonts w:hint="eastAsia" w:ascii="宋体" w:hAnsi="宋体"/>
                <w:szCs w:val="21"/>
              </w:rPr>
              <w:t>中小企业</w:t>
            </w: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根据提供的</w:t>
            </w:r>
            <w:r>
              <w:rPr>
                <w:rFonts w:ascii="宋体" w:hAnsi="宋体"/>
                <w:szCs w:val="21"/>
              </w:rPr>
              <w:t>证明材料</w:t>
            </w:r>
            <w:r>
              <w:rPr>
                <w:rFonts w:hint="eastAsia" w:ascii="宋体" w:hAnsi="宋体"/>
                <w:szCs w:val="21"/>
              </w:rPr>
              <w:t>评审</w:t>
            </w:r>
            <w:r>
              <w:rPr>
                <w:rFonts w:ascii="宋体" w:hAnsi="宋体"/>
                <w:szCs w:val="21"/>
              </w:rPr>
              <w:t>。</w:t>
            </w:r>
          </w:p>
        </w:tc>
      </w:tr>
      <w:bookmarkEnd w:id="0"/>
      <w:bookmarkEnd w:id="1"/>
      <w:bookmarkEnd w:id="2"/>
    </w:tbl>
    <w:p>
      <w:pPr>
        <w:pStyle w:val="5"/>
        <w:jc w:val="both"/>
        <w:rPr>
          <w:rFonts w:cs="宋体"/>
          <w:sz w:val="21"/>
          <w:szCs w:val="21"/>
        </w:rPr>
      </w:pPr>
    </w:p>
    <w:p>
      <w:pPr>
        <w:pStyle w:val="5"/>
        <w:jc w:val="both"/>
        <w:rPr>
          <w:rFonts w:cs="宋体"/>
          <w:sz w:val="21"/>
          <w:szCs w:val="21"/>
        </w:rPr>
      </w:pPr>
      <w:r>
        <w:rPr>
          <w:rFonts w:hint="eastAsia" w:cs="宋体"/>
          <w:sz w:val="21"/>
          <w:szCs w:val="21"/>
        </w:rPr>
        <w:t>定标方法</w:t>
      </w:r>
    </w:p>
    <w:p>
      <w:pPr>
        <w:spacing w:line="400" w:lineRule="exact"/>
        <w:ind w:left="1050" w:hanging="1050" w:hangingChars="500"/>
        <w:rPr>
          <w:rFonts w:ascii="宋体" w:hAnsi="宋体" w:cs="宋体"/>
          <w:szCs w:val="21"/>
        </w:rPr>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法（详见“第二册通用条款第八章”）。采购人组成的定标委员会选取</w:t>
      </w:r>
      <w:r>
        <w:rPr>
          <w:rFonts w:hint="eastAsia" w:ascii="宋体" w:hAnsi="宋体" w:cs="宋体"/>
          <w:szCs w:val="21"/>
          <w:u w:val="single"/>
        </w:rPr>
        <w:t xml:space="preserve"> 直线票决法 </w:t>
      </w:r>
      <w:r>
        <w:rPr>
          <w:rFonts w:hint="eastAsia" w:ascii="宋体" w:hAnsi="宋体" w:cs="宋体"/>
          <w:szCs w:val="21"/>
        </w:rPr>
        <w:t>方式（选择直线票决法、集体议事法和累积投票法三种方式之一）定标。</w:t>
      </w:r>
    </w:p>
    <w:p/>
    <w:p>
      <w:pPr>
        <w:jc w:val="center"/>
        <w:rPr>
          <w:rFonts w:ascii="宋体" w:hAnsi="宋体" w:cs="宋体"/>
          <w:sz w:val="36"/>
          <w:szCs w:val="36"/>
        </w:rPr>
      </w:pPr>
      <w:r>
        <w:rPr>
          <w:rFonts w:hint="eastAsia" w:ascii="宋体" w:hAnsi="宋体" w:cs="宋体"/>
          <w:sz w:val="24"/>
        </w:rPr>
        <w:br w:type="page"/>
      </w:r>
      <w:bookmarkStart w:id="3" w:name="bt合同条款及格式"/>
      <w:bookmarkEnd w:id="3"/>
      <w:bookmarkStart w:id="4" w:name="bt其他资料2"/>
      <w:bookmarkEnd w:id="4"/>
      <w:bookmarkStart w:id="5" w:name="bt本工程承诺书"/>
      <w:bookmarkEnd w:id="5"/>
      <w:bookmarkStart w:id="6" w:name="bt项目管理班子配备情况"/>
      <w:bookmarkEnd w:id="6"/>
      <w:bookmarkStart w:id="7" w:name="bt合同条款"/>
      <w:bookmarkEnd w:id="7"/>
      <w:bookmarkStart w:id="8" w:name="bt投标文件签署授权委托书"/>
      <w:bookmarkEnd w:id="8"/>
      <w:bookmarkStart w:id="9" w:name="bt商务标投标文件格式"/>
      <w:bookmarkEnd w:id="9"/>
      <w:bookmarkStart w:id="10" w:name="bt投标函"/>
      <w:bookmarkEnd w:id="10"/>
      <w:bookmarkStart w:id="11" w:name="bt投标人情况介绍"/>
      <w:bookmarkEnd w:id="11"/>
      <w:bookmarkStart w:id="12" w:name="bt合同格式"/>
      <w:bookmarkEnd w:id="12"/>
      <w:bookmarkStart w:id="13" w:name="bt开标一览表"/>
      <w:bookmarkEnd w:id="13"/>
      <w:bookmarkStart w:id="14" w:name="bt说明"/>
      <w:bookmarkEnd w:id="14"/>
      <w:bookmarkStart w:id="15" w:name="bt投标人须知"/>
      <w:bookmarkEnd w:id="15"/>
      <w:bookmarkStart w:id="16" w:name="bt投标报价汇总表"/>
      <w:bookmarkEnd w:id="16"/>
      <w:bookmarkStart w:id="17" w:name="bt其他资料由投标人自定"/>
      <w:bookmarkEnd w:id="17"/>
      <w:bookmarkStart w:id="18" w:name="合同格式"/>
      <w:bookmarkEnd w:id="18"/>
      <w:bookmarkStart w:id="19" w:name="bt技术标投标文件格式"/>
      <w:bookmarkEnd w:id="19"/>
    </w:p>
    <w:p>
      <w:pPr>
        <w:pStyle w:val="2"/>
        <w:pageBreakBefore w:val="0"/>
        <w:kinsoku/>
        <w:wordWrap/>
        <w:overflowPunct/>
        <w:topLinePunct w:val="0"/>
        <w:autoSpaceDE/>
        <w:autoSpaceDN/>
        <w:bidi w:val="0"/>
        <w:snapToGrid/>
        <w:spacing w:line="320" w:lineRule="exact"/>
      </w:pPr>
      <w:r>
        <w:rPr>
          <w:rFonts w:hint="eastAsia"/>
        </w:rPr>
        <w:t>第二章  项目需求</w:t>
      </w:r>
    </w:p>
    <w:p>
      <w:pPr>
        <w:pStyle w:val="5"/>
        <w:pageBreakBefore w:val="0"/>
        <w:kinsoku/>
        <w:wordWrap/>
        <w:overflowPunct/>
        <w:topLinePunct w:val="0"/>
        <w:autoSpaceDE/>
        <w:autoSpaceDN/>
        <w:bidi w:val="0"/>
        <w:snapToGrid/>
        <w:spacing w:before="120" w:beforeLines="50" w:after="120" w:afterLines="50" w:line="320" w:lineRule="exact"/>
        <w:rPr>
          <w:rFonts w:cs="宋体"/>
          <w:szCs w:val="28"/>
        </w:rPr>
      </w:pPr>
      <w:bookmarkStart w:id="20" w:name="_Toc73521635"/>
      <w:bookmarkStart w:id="21" w:name="_Toc73518117"/>
      <w:bookmarkStart w:id="22" w:name="_Toc73521547"/>
      <w:bookmarkStart w:id="23" w:name="_Toc73517639"/>
      <w:bookmarkStart w:id="24" w:name="_Toc60560625"/>
      <w:bookmarkStart w:id="25" w:name="_Toc100052364"/>
      <w:bookmarkStart w:id="26" w:name="_Toc60631620"/>
      <w:bookmarkStart w:id="27" w:name="_Toc101074876"/>
      <w:r>
        <w:rPr>
          <w:rFonts w:hint="eastAsia" w:cs="宋体"/>
          <w:szCs w:val="28"/>
        </w:rPr>
        <w:t>一、项目概况</w:t>
      </w:r>
    </w:p>
    <w:bookmarkEnd w:id="20"/>
    <w:bookmarkEnd w:id="21"/>
    <w:bookmarkEnd w:id="22"/>
    <w:bookmarkEnd w:id="23"/>
    <w:bookmarkEnd w:id="24"/>
    <w:bookmarkEnd w:id="25"/>
    <w:bookmarkEnd w:id="26"/>
    <w:bookmarkEnd w:id="27"/>
    <w:p>
      <w:pPr>
        <w:pageBreakBefore w:val="0"/>
        <w:kinsoku/>
        <w:wordWrap/>
        <w:overflowPunct/>
        <w:topLinePunct w:val="0"/>
        <w:autoSpaceDE/>
        <w:autoSpaceDN/>
        <w:bidi w:val="0"/>
        <w:snapToGrid/>
        <w:spacing w:line="320" w:lineRule="exact"/>
        <w:rPr>
          <w:rFonts w:ascii="宋体" w:hAnsi="宋体" w:cs="宋体"/>
          <w:b/>
        </w:rPr>
      </w:pPr>
      <w:r>
        <w:rPr>
          <w:rFonts w:hint="eastAsia" w:ascii="宋体" w:hAnsi="宋体" w:cs="宋体"/>
          <w:szCs w:val="21"/>
        </w:rPr>
        <w:t>本项目</w:t>
      </w:r>
      <w:r>
        <w:rPr>
          <w:rFonts w:ascii="宋体" w:hAnsi="宋体" w:cs="宋体"/>
          <w:szCs w:val="21"/>
        </w:rPr>
        <w:t>为</w:t>
      </w:r>
      <w:r>
        <w:rPr>
          <w:rFonts w:hint="eastAsia" w:ascii="宋体" w:hAnsi="宋体" w:cs="宋体"/>
          <w:b/>
          <w:bCs/>
          <w:szCs w:val="21"/>
          <w:lang w:val="en-US" w:eastAsia="zh-CN"/>
        </w:rPr>
        <w:t>深圳实验学校</w:t>
      </w:r>
      <w:r>
        <w:rPr>
          <w:rFonts w:hint="eastAsia" w:ascii="宋体" w:hAnsi="宋体" w:cs="宋体"/>
          <w:b/>
          <w:bCs/>
          <w:szCs w:val="21"/>
        </w:rPr>
        <w:t>初中部</w:t>
      </w:r>
      <w:r>
        <w:rPr>
          <w:rFonts w:hint="eastAsia" w:ascii="宋体" w:hAnsi="宋体" w:cs="宋体"/>
          <w:b/>
          <w:bCs/>
          <w:szCs w:val="21"/>
          <w:lang w:val="en-US" w:eastAsia="zh-CN"/>
        </w:rPr>
        <w:t>开办消防器材</w:t>
      </w:r>
      <w:r>
        <w:rPr>
          <w:rFonts w:hint="eastAsia" w:ascii="宋体" w:hAnsi="宋体" w:cs="宋体"/>
          <w:szCs w:val="21"/>
        </w:rPr>
        <w:t>。</w:t>
      </w:r>
    </w:p>
    <w:p>
      <w:pPr>
        <w:pStyle w:val="5"/>
        <w:pageBreakBefore w:val="0"/>
        <w:kinsoku/>
        <w:wordWrap/>
        <w:overflowPunct/>
        <w:topLinePunct w:val="0"/>
        <w:autoSpaceDE/>
        <w:autoSpaceDN/>
        <w:bidi w:val="0"/>
        <w:snapToGrid/>
        <w:spacing w:before="120" w:beforeLines="50" w:after="120" w:afterLines="50" w:line="320" w:lineRule="exact"/>
        <w:rPr>
          <w:rFonts w:cs="宋体"/>
          <w:szCs w:val="28"/>
        </w:rPr>
      </w:pPr>
      <w:r>
        <w:rPr>
          <w:rFonts w:hint="eastAsia" w:cs="宋体"/>
          <w:szCs w:val="28"/>
        </w:rPr>
        <w:t>二、货物清单</w:t>
      </w:r>
    </w:p>
    <w:tbl>
      <w:tblPr>
        <w:tblStyle w:val="39"/>
        <w:tblpPr w:leftFromText="180" w:rightFromText="180" w:vertAnchor="text" w:horzAnchor="page" w:tblpXSpec="center" w:tblpY="266"/>
        <w:tblOverlap w:val="never"/>
        <w:tblW w:w="47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994"/>
        <w:gridCol w:w="2939"/>
        <w:gridCol w:w="904"/>
        <w:gridCol w:w="751"/>
        <w:gridCol w:w="1378"/>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序号</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采购计划编号</w:t>
            </w:r>
          </w:p>
        </w:tc>
        <w:tc>
          <w:tcPr>
            <w:tcW w:w="2939"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货物名称</w:t>
            </w:r>
          </w:p>
        </w:tc>
        <w:tc>
          <w:tcPr>
            <w:tcW w:w="90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数量</w:t>
            </w:r>
          </w:p>
        </w:tc>
        <w:tc>
          <w:tcPr>
            <w:tcW w:w="751"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单位</w:t>
            </w:r>
          </w:p>
        </w:tc>
        <w:tc>
          <w:tcPr>
            <w:tcW w:w="1378"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最高限价（元）</w:t>
            </w:r>
          </w:p>
        </w:tc>
        <w:tc>
          <w:tcPr>
            <w:tcW w:w="62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r>
              <w:rPr>
                <w:rFonts w:hint="eastAsia"/>
              </w:rPr>
              <w:t>1</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cs="宋体" w:asciiTheme="minorEastAsia" w:hAnsiTheme="minorEastAsia" w:eastAsiaTheme="minorEastAsia"/>
                <w:kern w:val="0"/>
                <w:szCs w:val="21"/>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17款消防战斗服</w:t>
            </w:r>
          </w:p>
        </w:tc>
        <w:tc>
          <w:tcPr>
            <w:tcW w:w="904"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751"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套</w:t>
            </w:r>
          </w:p>
        </w:tc>
        <w:tc>
          <w:tcPr>
            <w:tcW w:w="1378" w:type="dxa"/>
            <w:vMerge w:val="restart"/>
            <w:vAlign w:val="center"/>
          </w:tcPr>
          <w:p>
            <w:pPr>
              <w:pageBreakBefore w:val="0"/>
              <w:kinsoku/>
              <w:wordWrap/>
              <w:overflowPunct/>
              <w:topLinePunct w:val="0"/>
              <w:autoSpaceDE/>
              <w:autoSpaceDN/>
              <w:bidi w:val="0"/>
              <w:snapToGrid/>
              <w:spacing w:line="320" w:lineRule="exact"/>
              <w:jc w:val="center"/>
              <w:rPr>
                <w:rFonts w:hint="default" w:ascii="宋体" w:hAnsi="宋体" w:eastAsia="宋体" w:cs="宋体"/>
                <w:b/>
                <w:szCs w:val="21"/>
                <w:lang w:val="en-US" w:eastAsia="zh-CN"/>
              </w:rPr>
            </w:pPr>
            <w:r>
              <w:rPr>
                <w:rFonts w:hint="eastAsia" w:ascii="宋体" w:hAnsi="宋体" w:cs="宋体"/>
                <w:b/>
                <w:szCs w:val="21"/>
                <w:lang w:val="en-US" w:eastAsia="zh-CN"/>
              </w:rPr>
              <w:t>180000</w:t>
            </w: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ascii="微软雅黑" w:hAnsi="微软雅黑" w:eastAsia="微软雅黑" w:cs="微软雅黑"/>
                <w:color w:val="000000"/>
                <w:kern w:val="0"/>
                <w:sz w:val="20"/>
                <w:szCs w:val="20"/>
                <w:lang w:bidi="ar"/>
              </w:rPr>
            </w:pPr>
            <w:r>
              <w:rPr>
                <w:rFonts w:hint="eastAsia"/>
              </w:rPr>
              <w:t>2</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新式消防头盔</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cs="宋体"/>
                <w:i w:val="0"/>
                <w:iCs w:val="0"/>
                <w:color w:val="000000"/>
                <w:kern w:val="0"/>
                <w:sz w:val="22"/>
                <w:szCs w:val="22"/>
                <w:highlight w:val="none"/>
                <w:u w:val="none"/>
                <w:lang w:val="en-US" w:eastAsia="zh-CN" w:bidi="ar"/>
              </w:rPr>
              <w:t>顶</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eastAsia="宋体"/>
                <w:lang w:val="en-US" w:eastAsia="zh-CN"/>
              </w:rPr>
            </w:pPr>
            <w:r>
              <w:rPr>
                <w:rFonts w:hint="eastAsia"/>
                <w:lang w:val="en-US" w:eastAsia="zh-CN"/>
              </w:rPr>
              <w:t>3</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消防员灭火防护靴</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cs="宋体"/>
                <w:i w:val="0"/>
                <w:iCs w:val="0"/>
                <w:color w:val="000000"/>
                <w:kern w:val="0"/>
                <w:sz w:val="22"/>
                <w:szCs w:val="22"/>
                <w:highlight w:val="none"/>
                <w:u w:val="none"/>
                <w:lang w:val="en-US" w:eastAsia="zh-CN" w:bidi="ar"/>
              </w:rPr>
              <w:t>双</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eastAsia="宋体"/>
                <w:lang w:val="en-US" w:eastAsia="zh-CN"/>
              </w:rPr>
            </w:pPr>
            <w:r>
              <w:rPr>
                <w:rFonts w:hint="eastAsia"/>
                <w:lang w:val="en-US" w:eastAsia="zh-CN"/>
              </w:rPr>
              <w:t>4</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消防手套</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cs="宋体"/>
                <w:i w:val="0"/>
                <w:iCs w:val="0"/>
                <w:color w:val="000000"/>
                <w:kern w:val="0"/>
                <w:sz w:val="22"/>
                <w:szCs w:val="22"/>
                <w:highlight w:val="none"/>
                <w:u w:val="none"/>
                <w:lang w:val="en-US" w:eastAsia="zh-CN" w:bidi="ar"/>
              </w:rPr>
              <w:t>双</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eastAsia="宋体"/>
                <w:lang w:val="en-US" w:eastAsia="zh-CN"/>
              </w:rPr>
            </w:pPr>
            <w:r>
              <w:rPr>
                <w:rFonts w:hint="eastAsia"/>
                <w:lang w:val="en-US" w:eastAsia="zh-CN"/>
              </w:rPr>
              <w:t>5</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消防安全腰带</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cs="宋体"/>
                <w:i w:val="0"/>
                <w:iCs w:val="0"/>
                <w:color w:val="000000"/>
                <w:kern w:val="0"/>
                <w:sz w:val="22"/>
                <w:szCs w:val="22"/>
                <w:highlight w:val="none"/>
                <w:u w:val="none"/>
                <w:lang w:val="en-US" w:eastAsia="zh-CN" w:bidi="ar"/>
              </w:rPr>
              <w:t>条</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eastAsia="宋体"/>
                <w:lang w:val="en-US" w:eastAsia="zh-CN"/>
              </w:rPr>
            </w:pPr>
            <w:r>
              <w:rPr>
                <w:rFonts w:hint="eastAsia"/>
                <w:lang w:val="en-US" w:eastAsia="zh-CN"/>
              </w:rPr>
              <w:t>6</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97款消防战斗服</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cs="宋体"/>
                <w:i w:val="0"/>
                <w:iCs w:val="0"/>
                <w:color w:val="000000"/>
                <w:kern w:val="0"/>
                <w:sz w:val="22"/>
                <w:szCs w:val="22"/>
                <w:highlight w:val="none"/>
                <w:u w:val="none"/>
                <w:lang w:val="en-US" w:eastAsia="zh-CN" w:bidi="ar"/>
              </w:rPr>
              <w:t>套</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eastAsia="宋体"/>
                <w:lang w:val="en-US" w:eastAsia="zh-CN"/>
              </w:rPr>
            </w:pPr>
            <w:r>
              <w:rPr>
                <w:rFonts w:hint="eastAsia"/>
                <w:lang w:val="en-US" w:eastAsia="zh-CN"/>
              </w:rPr>
              <w:t>7</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高层消防应急水带</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条</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eastAsia="宋体"/>
                <w:lang w:val="en-US" w:eastAsia="zh-CN"/>
              </w:rPr>
            </w:pPr>
            <w:r>
              <w:rPr>
                <w:rFonts w:hint="eastAsia"/>
                <w:lang w:val="en-US" w:eastAsia="zh-CN"/>
              </w:rPr>
              <w:t>8</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消防水带</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条</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9</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直流开关水枪</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个</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10</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室内喷雾水枪</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个</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11</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手电探灯</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个</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12</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消防扳手</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把</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13</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消防破拆工具组</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套</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14</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过滤式自救呼吸器</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50</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盒</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15</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O型扣逃生绳</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条</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16</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逃生缓降器</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套</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17</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消防柜</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套</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18</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干粉灭火器</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highlight w:val="none"/>
                <w:u w:val="none"/>
                <w:lang w:val="en-US" w:eastAsia="zh-CN" w:bidi="ar"/>
              </w:rPr>
              <w:t>200</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具</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19</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灭火器箱</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highlight w:val="none"/>
                <w:u w:val="none"/>
                <w:lang w:val="en-US" w:eastAsia="zh-CN" w:bidi="ar"/>
              </w:rPr>
              <w:t>100</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个</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20</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灭火器推车</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auto"/>
                <w:kern w:val="0"/>
                <w:sz w:val="21"/>
                <w:szCs w:val="21"/>
                <w:highlight w:val="none"/>
                <w:u w:val="none"/>
                <w:lang w:val="en-US" w:eastAsia="zh-CN" w:bidi="ar"/>
              </w:rPr>
              <w:t>10</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辆</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21</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灭火毯</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cs="宋体"/>
                <w:i w:val="0"/>
                <w:iCs w:val="0"/>
                <w:color w:val="000000"/>
                <w:kern w:val="0"/>
                <w:sz w:val="21"/>
                <w:szCs w:val="21"/>
                <w:highlight w:val="none"/>
                <w:u w:val="none"/>
                <w:lang w:val="en-US" w:eastAsia="zh-CN" w:bidi="ar"/>
              </w:rPr>
              <w:t>40</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张</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22</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手持扩音呐叭</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highlight w:val="none"/>
                <w:u w:val="none"/>
                <w:lang w:val="en-US" w:eastAsia="zh-CN" w:bidi="ar"/>
              </w:rPr>
              <w:t>4</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套</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23</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正压式呼吸器</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highlight w:val="none"/>
                <w:u w:val="none"/>
                <w:lang w:val="en-US" w:eastAsia="zh-CN" w:bidi="ar"/>
              </w:rPr>
              <w:t>4</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台</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24</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二氧化碳气体灭火器</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highlight w:val="none"/>
                <w:u w:val="none"/>
                <w:lang w:val="en-US" w:eastAsia="zh-CN" w:bidi="ar"/>
              </w:rPr>
              <w:t>30</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套</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25</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消防水带接头</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highlight w:val="none"/>
                <w:u w:val="none"/>
                <w:lang w:val="en-US" w:eastAsia="zh-CN" w:bidi="ar"/>
              </w:rPr>
              <w:t>15</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套</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26</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消防绝缘钳</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highlight w:val="none"/>
                <w:u w:val="none"/>
                <w:lang w:val="en-US" w:eastAsia="zh-CN" w:bidi="ar"/>
              </w:rPr>
              <w:t>4</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把</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27</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吸水自膨胀消防袋</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00</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个</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28</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消防铁锹</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highlight w:val="none"/>
                <w:u w:val="none"/>
                <w:lang w:val="en-US" w:eastAsia="zh-CN" w:bidi="ar"/>
              </w:rPr>
              <w:t>4</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把</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29</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水基型室内灭火器</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highlight w:val="none"/>
                <w:u w:val="none"/>
                <w:lang w:val="en-US" w:eastAsia="zh-CN" w:bidi="ar"/>
              </w:rPr>
              <w:t>100</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具</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30</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default" w:ascii="Arial" w:hAnsi="Arial" w:eastAsia="宋体" w:cs="Arial"/>
                <w:i w:val="0"/>
                <w:iCs w:val="0"/>
                <w:color w:val="000000"/>
                <w:kern w:val="0"/>
                <w:sz w:val="22"/>
                <w:szCs w:val="22"/>
                <w:highlight w:val="none"/>
                <w:u w:val="none"/>
                <w:lang w:val="en-US" w:eastAsia="zh-CN" w:bidi="ar"/>
              </w:rPr>
              <w:t xml:space="preserve">PLJ </w:t>
            </w:r>
            <w:r>
              <w:rPr>
                <w:rStyle w:val="77"/>
                <w:sz w:val="22"/>
                <w:szCs w:val="22"/>
                <w:highlight w:val="none"/>
                <w:lang w:val="en-US" w:eastAsia="zh-CN" w:bidi="ar"/>
              </w:rPr>
              <w:t>警戒隔离线</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盒</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31</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Arial" w:hAnsi="Arial" w:cs="Arial"/>
                <w:i w:val="0"/>
                <w:iCs w:val="0"/>
                <w:color w:val="000000"/>
                <w:kern w:val="0"/>
                <w:sz w:val="22"/>
                <w:szCs w:val="22"/>
                <w:highlight w:val="none"/>
                <w:u w:val="none"/>
                <w:lang w:val="en-US" w:eastAsia="zh-CN" w:bidi="ar"/>
              </w:rPr>
              <w:t>胶马护栏</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1"/>
                <w:szCs w:val="21"/>
                <w:highlight w:val="none"/>
                <w:u w:val="none"/>
                <w:lang w:val="en-US" w:eastAsia="zh-CN" w:bidi="ar"/>
              </w:rPr>
              <w:t>100</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2"/>
                <w:szCs w:val="22"/>
                <w:highlight w:val="none"/>
                <w:u w:val="none"/>
                <w:lang w:val="en-US" w:eastAsia="zh-CN" w:bidi="ar"/>
              </w:rPr>
              <w:t>个</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bl>
    <w:p>
      <w:pPr>
        <w:pageBreakBefore w:val="0"/>
        <w:kinsoku/>
        <w:wordWrap/>
        <w:overflowPunct/>
        <w:topLinePunct w:val="0"/>
        <w:autoSpaceDE/>
        <w:autoSpaceDN/>
        <w:bidi w:val="0"/>
        <w:snapToGrid/>
        <w:spacing w:line="320" w:lineRule="exact"/>
        <w:rPr>
          <w:rFonts w:hint="eastAsia" w:ascii="宋体" w:hAnsi="宋体" w:eastAsia="宋体" w:cs="宋体"/>
          <w:b/>
          <w:szCs w:val="21"/>
          <w:lang w:val="en-US" w:eastAsia="zh-CN"/>
        </w:rPr>
      </w:pPr>
    </w:p>
    <w:p>
      <w:pPr>
        <w:pageBreakBefore w:val="0"/>
        <w:kinsoku/>
        <w:wordWrap/>
        <w:overflowPunct/>
        <w:topLinePunct w:val="0"/>
        <w:autoSpaceDE/>
        <w:autoSpaceDN/>
        <w:bidi w:val="0"/>
        <w:snapToGrid/>
        <w:spacing w:line="320" w:lineRule="exact"/>
        <w:rPr>
          <w:rFonts w:ascii="宋体" w:hAnsi="宋体" w:cs="宋体"/>
          <w:b/>
          <w:szCs w:val="21"/>
        </w:rPr>
      </w:pPr>
      <w:r>
        <w:rPr>
          <w:rFonts w:hint="eastAsia" w:ascii="宋体" w:hAnsi="宋体" w:cs="宋体"/>
          <w:b/>
          <w:szCs w:val="21"/>
        </w:rPr>
        <w:t xml:space="preserve">注：1.备注栏注明“拒绝进口”的产品不接受投标人选用进口产品参与投标；注明“接受进口”的产品允许投标人选用进口产品参与投标，但不排斥国内产品。 </w:t>
      </w:r>
    </w:p>
    <w:p>
      <w:pPr>
        <w:pageBreakBefore w:val="0"/>
        <w:kinsoku/>
        <w:wordWrap/>
        <w:overflowPunct/>
        <w:topLinePunct w:val="0"/>
        <w:autoSpaceDE/>
        <w:autoSpaceDN/>
        <w:bidi w:val="0"/>
        <w:snapToGrid/>
        <w:spacing w:line="320" w:lineRule="exact"/>
        <w:rPr>
          <w:rFonts w:ascii="宋体" w:hAnsi="宋体" w:cs="宋体"/>
          <w:b/>
          <w:bCs/>
          <w:szCs w:val="21"/>
        </w:rPr>
      </w:pPr>
    </w:p>
    <w:p>
      <w:pPr>
        <w:pStyle w:val="5"/>
        <w:pageBreakBefore w:val="0"/>
        <w:kinsoku/>
        <w:wordWrap/>
        <w:overflowPunct/>
        <w:topLinePunct w:val="0"/>
        <w:autoSpaceDE/>
        <w:autoSpaceDN/>
        <w:bidi w:val="0"/>
        <w:snapToGrid/>
        <w:spacing w:before="0" w:after="0" w:line="240" w:lineRule="auto"/>
        <w:rPr>
          <w:rFonts w:cs="宋体"/>
          <w:szCs w:val="28"/>
        </w:rPr>
      </w:pPr>
      <w:r>
        <w:rPr>
          <w:rFonts w:hint="eastAsia" w:cs="宋体"/>
          <w:szCs w:val="28"/>
        </w:rPr>
        <w:t>三、具体技术要求</w:t>
      </w:r>
    </w:p>
    <w:p>
      <w:pPr>
        <w:pageBreakBefore w:val="0"/>
        <w:kinsoku/>
        <w:wordWrap/>
        <w:overflowPunct/>
        <w:topLinePunct w:val="0"/>
        <w:autoSpaceDE/>
        <w:autoSpaceDN/>
        <w:bidi w:val="0"/>
        <w:snapToGrid/>
        <w:spacing w:line="320" w:lineRule="exact"/>
        <w:rPr>
          <w:rFonts w:ascii="宋体" w:hAnsi="宋体" w:cs="宋体"/>
          <w:b/>
          <w:szCs w:val="21"/>
        </w:rPr>
      </w:pPr>
      <w:r>
        <w:rPr>
          <w:rFonts w:hint="eastAsia" w:ascii="宋体" w:hAnsi="宋体" w:cs="宋体"/>
          <w:b/>
          <w:szCs w:val="21"/>
        </w:rPr>
        <w:t>说明：投标人须如实填写《技术规格偏离表》，并按招标文件的要求提供相关证明资料，包括产品原厂说明书或产品彩页等。提供的证明资料与投标响应情况不相符的，视为《技术规格偏离表》填写不实。</w:t>
      </w:r>
    </w:p>
    <w:p>
      <w:pPr>
        <w:rPr>
          <w:rFonts w:hint="eastAsia" w:ascii="宋体" w:hAnsi="宋体" w:cs="宋体"/>
          <w:b/>
        </w:rPr>
      </w:pPr>
      <w:r>
        <w:rPr>
          <w:rFonts w:hint="eastAsia" w:ascii="宋体" w:hAnsi="宋体" w:cs="宋体"/>
          <w:b/>
        </w:rPr>
        <w:t>备注：带“</w:t>
      </w:r>
      <w:r>
        <w:rPr>
          <w:rFonts w:hint="eastAsia"/>
        </w:rPr>
        <w:t>★</w:t>
      </w:r>
      <w:r>
        <w:rPr>
          <w:rFonts w:hint="eastAsia" w:ascii="宋体" w:hAnsi="宋体" w:cs="宋体"/>
          <w:b/>
        </w:rPr>
        <w:t>”为必要条款，“</w:t>
      </w:r>
      <w:r>
        <w:rPr>
          <w:rFonts w:hint="eastAsia"/>
        </w:rPr>
        <w:t>▲</w:t>
      </w:r>
      <w:r>
        <w:rPr>
          <w:rFonts w:hint="eastAsia" w:ascii="宋体" w:hAnsi="宋体" w:cs="宋体"/>
          <w:b/>
        </w:rPr>
        <w:t>”为重要条款。</w:t>
      </w:r>
    </w:p>
    <w:tbl>
      <w:tblPr>
        <w:tblStyle w:val="40"/>
        <w:tblW w:w="89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243"/>
        <w:gridCol w:w="5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14"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序号</w:t>
            </w:r>
          </w:p>
        </w:tc>
        <w:tc>
          <w:tcPr>
            <w:tcW w:w="2243"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货物名称</w:t>
            </w:r>
          </w:p>
        </w:tc>
        <w:tc>
          <w:tcPr>
            <w:tcW w:w="5957"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bookmarkStart w:id="30" w:name="_GoBack" w:colFirst="1" w:colLast="2"/>
            <w:r>
              <w:rPr>
                <w:rFonts w:hint="eastAsia"/>
              </w:rPr>
              <w:t>1</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17款消防战斗服</w:t>
            </w:r>
          </w:p>
        </w:tc>
        <w:tc>
          <w:tcPr>
            <w:tcW w:w="5957" w:type="dxa"/>
            <w:vAlign w:val="center"/>
          </w:tcPr>
          <w:p>
            <w:pPr>
              <w:keepNext w:val="0"/>
              <w:keepLines w:val="0"/>
              <w:widowControl/>
              <w:suppressLineNumbers w:val="0"/>
              <w:jc w:val="left"/>
              <w:textAlignment w:val="center"/>
              <w:rPr>
                <w:rFonts w:hint="eastAsia" w:ascii="宋体" w:hAnsi="宋体" w:eastAsia="宋体" w:cs="宋体"/>
                <w:b w:val="0"/>
                <w:bCs w:val="0"/>
                <w:sz w:val="21"/>
                <w:szCs w:val="21"/>
                <w:highlight w:val="none"/>
                <w:lang w:val="en-US"/>
              </w:rPr>
            </w:pPr>
            <w:r>
              <w:rPr>
                <w:rFonts w:hint="eastAsia" w:ascii="宋体" w:hAnsi="宋体" w:eastAsia="宋体" w:cs="宋体"/>
                <w:b w:val="0"/>
                <w:bCs w:val="0"/>
                <w:sz w:val="21"/>
                <w:szCs w:val="21"/>
                <w:highlight w:val="none"/>
                <w:lang w:val="en-US"/>
              </w:rPr>
              <w:t>符合《17式消防员灭火防护服款式标识统型要求》。</w:t>
            </w:r>
          </w:p>
          <w:p>
            <w:pPr>
              <w:keepNext w:val="0"/>
              <w:keepLines w:val="0"/>
              <w:widowControl/>
              <w:suppressLineNumbers w:val="0"/>
              <w:jc w:val="left"/>
              <w:textAlignment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宋体" w:hAnsi="宋体" w:eastAsia="宋体" w:cs="宋体"/>
                <w:b w:val="0"/>
                <w:bCs w:val="0"/>
                <w:sz w:val="21"/>
                <w:szCs w:val="21"/>
                <w:highlight w:val="none"/>
                <w:lang w:val="en-US"/>
              </w:rPr>
              <w:t>防护等级高、重量轻的新型不可拆卸式一体化薄型灭火防护服。藏蓝色、分体式，产品由表面层、防水透气层、隔热层、舒适层四层结构组成。重量2.796kg。具备阻燃、防水、透气、隔热、耐染、防静电和标识强等性能。整体热防护性能TPP值≥34 cal/cm2。外层：使用XT3900/PMIA三合一对位芳纶和间位芳纶混纺的芳纶材料，断裂强力经向≥1350N、纬向≥1030N，撕破强力经向≥215N、纬向≥160N。表面抗湿性能：外层≥3级，外层接缝断裂强力：经向≥935N、纬向≥745N。防水透气层为芳纶毡覆合PTFE膜，洗涤25次后拒油达4级。隔热层：隔热层为芳纶水刺毡。舒适层为50%芳纶与50%阻燃粘胶混纺材料。防水透气层：为优质PTFE薄膜。耐静水压大于50000Pa,水蒸气透过量≥5925g/㎡.24h，热稳定性能经2600C，5分钟处理后收缩率≤5.0%。每套均有国家认可的唯一强检标志，并经国家消防装备质检中心检测通过的合格产品。符合CNCA-C18-04：2014和CCCF-XFZB-01（A/0）强制性产品认证实施规则。产品提供检验报告和消防产品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rPr>
              <w:t>2</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新式消防头盔</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符合GA 44-2015《消防头盔》标准要求。半盔设计，用于头部、面部及颈部的安全保护，主要由帽壳、帽箍、帽托、缓冲层、下颏带等组成，具备防砸、防尖锐物品冲击、耐热、耐燃烧、电绝缘等性能。火源离开帽壳后，帽内火焰在5秒内自熄。浅色透明面罩，经高温试验，无变形及损坏现象。最大冲击力：高温≤3365N；辐射热≤3255N、低温≤3440N、浸水≤3325N。帽顶部：最大冲击速度≤125gn；帽前部：最大冲击速度≤300gn；加速度＞150gn，其持续时间≤5ms；加速度＞200gn，其持续时间≤2.5ms；帽侧部：最大冲击速度≤310 gn；加速度＞150gn，其持续时间≤5.5ms；加速度＞200gn，其持续时间≤2.5ms；帽后部：最大冲击速度≤290gn；加速度＞150gn，其持续时间≤5ms；加速度＞200gn，其持续时间≤2.5ms。耐热性能：帽壳不能触及头模任何部件无被引燃或熔化。面罩：无明显变形和损坏，帽箍调节装置、下颚带锁紧装置、附件和五金保持其原有功能。帽箍、帽托、缓冲层和下颚带均无明显变形和损坏。耐穿透性能：钢锥不得穿透头盔与头模产生接触。耐燃烧性能：火源离开帽壳后，帽壳火焰在5s，内自熄，并且不应有火焰烧透到帽壳内部的迹象。帽壳泄露电流1.1mA。下颚带抗拉强度：下颚带不会发生断裂、连接件滑脱及搭扣松脱现象。延伸长度≤19mm。侧向刚性：帽壳最大变形≤30mm。卸载后变形≤4mm。面罩：经耐热试验后，应无明显变形和损坏经抗高强度冲击试验，应不破碎或有明显冲击斑痕。经抗高速粒子冲击试验，应不破碎或有明显冲击斑痕。浅色透明面罩透光率≥70%；视野左＞105°；视野右＞105°。颜色为黄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3</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消防员灭火防护靴</w:t>
            </w:r>
          </w:p>
        </w:tc>
        <w:tc>
          <w:tcPr>
            <w:tcW w:w="5957" w:type="dxa"/>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符合GA6－2004标准，特性：防滑、防电击、耐穿刺、阻燃、隔热、防砸</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 xml:space="preserve">（1）防砸性能：静压力≥16mm、冲击≥16mm；  </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（2）抗刺穿性能≥1600N；</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（3）整靴击穿电压＞5000V，泄漏电流≤1.4mA</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（4）隔热性能≤8℃，抗辐射热渗透性能≤8℃。</w:t>
            </w:r>
          </w:p>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（5）整双靴总质量≤2.5kg。产品提供检验报告和消防产品认证证书。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4</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消防手套</w:t>
            </w:r>
          </w:p>
        </w:tc>
        <w:tc>
          <w:tcPr>
            <w:tcW w:w="5957" w:type="dxa"/>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符合GA7-2004标准；由阻燃外层、防水层、隔热层和衬里组合而成，用于手部防护、具备阻燃、隔热、防水性能。产品提供检验报告和消防产品认证证书。</w:t>
            </w:r>
          </w:p>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整体热防护性能：TPP29.6cal/cm2。耐磨性能＞2000，割破力＞15.0N，刺穿力69.4N，穿戴时间1.02s。防水性能：手套连续浸水 24H无渗漏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5</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消防安全腰带</w:t>
            </w:r>
          </w:p>
        </w:tc>
        <w:tc>
          <w:tcPr>
            <w:tcW w:w="5957" w:type="dxa"/>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符合GA494-2004标准，用途：消防员登高作业和逃生自救。结构：带长连续可调，用聚酰胺纤维或聚酯纤维制成，强度高耐冲击、阻燃性能好、重量轻、耐磨耐腐蚀、不霉不蛀等特点。设计负荷：1.33KN；静负荷性能：正立方向：13KN；倒立方向：10KN；水平方向：10KN；抗冲击性能：冲击高度为1m；带宽：70mm。</w:t>
            </w:r>
          </w:p>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质量0.73kg，使用方便、耐用。产品提供检验报告和3C认证。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6</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97款消防战斗服</w:t>
            </w:r>
          </w:p>
        </w:tc>
        <w:tc>
          <w:tcPr>
            <w:tcW w:w="5957" w:type="dxa"/>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1.型号：97款消防战斗服五件套</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2.功能：防高温</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3.是否连体：分体</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4.用途范围：消防救援，火场逃生，抢险救灾</w:t>
            </w:r>
          </w:p>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5.配置：上衣下裤*1，帽子*1，手套*1，靴子*1，腰带*1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7</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高层消防应急水带</w:t>
            </w:r>
          </w:p>
        </w:tc>
        <w:tc>
          <w:tcPr>
            <w:tcW w:w="5957" w:type="dxa"/>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红色耐磨聚氨酯消防水带13-65-20含接扣</w:t>
            </w:r>
          </w:p>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消防水带国标</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 xml:space="preserve">工作压力13KG </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 xml:space="preserve">孔径DN65 </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长度20米</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提供消防认证、合格证、3C认证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8</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消防水带</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耐磨聚氨酯消防水带8-65-20含接扣</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消防水带国标</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 xml:space="preserve">工作压力8KG </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 xml:space="preserve">孔径DN65 </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长度20米</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提供消防认证、合格证、3C认证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9</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直流开关水枪</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1、</w:t>
            </w:r>
            <w:r>
              <w:rPr>
                <w:rFonts w:hint="eastAsia" w:ascii="宋体" w:hAnsi="宋体" w:eastAsia="宋体" w:cs="宋体"/>
                <w:b w:val="0"/>
                <w:bCs w:val="0"/>
                <w:i w:val="0"/>
                <w:iCs w:val="0"/>
                <w:color w:val="000000"/>
                <w:kern w:val="0"/>
                <w:sz w:val="21"/>
                <w:szCs w:val="21"/>
                <w:highlight w:val="none"/>
                <w:u w:val="none"/>
                <w:lang w:val="en-US" w:eastAsia="zh-CN" w:bidi="ar"/>
              </w:rPr>
              <w:t>QZG 3.5/7.5额定流量 8.0L/s 额定喷射压力6.0MPa 开关（G）型式直流（Z）流形式</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 xml:space="preserve"> 消防水枪（Q）</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2、直流射程≥40m。额定流量8L/s、允许误差±8％（即±0.8L/s）</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3、接口公称直径：65mm。</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执行标准：GB8181－－2005《消防水枪》；</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提供消防认证、合格证、3C认证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10</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室内喷雾水枪</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 xml:space="preserve">消防多功能直流无后坐力两用水枪头 QLD6.0/8I型 </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提供消防认证、合格证、3C认证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11</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手电探灯</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适用于公安、消防、部队、油田、冶金、铁路、电业、石化等各种易燃易爆IIC类T1-T6组1区、2区场所及防汛抢险、应急救援、水上搜救现场提供远距离个人照明及信号指示等功能，隔爆型防爆等级，可在各种易燃易爆场所安全工作；采用固态免维护美国科瑞LED光源，光效高，聚光好，平均使用寿命长达10万小时以上；具有工作光、强光、频闪三种光设计，按动按钮可进行自由转换，额定电压;DC12V，功率3*3W，充电时间8h，防爆等级Ex d IIC T6 Gb；电池寿命1000次循环。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12</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消防扳手</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用于开启消火栓，材质为铸钢，长度40-44cm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13</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消防破拆工具组</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破拆工具提供检验报告和合格证。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14</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过滤式自救呼吸器</w:t>
            </w:r>
          </w:p>
        </w:tc>
        <w:tc>
          <w:tcPr>
            <w:tcW w:w="5957" w:type="dxa"/>
            <w:vAlign w:val="center"/>
          </w:tcPr>
          <w:p>
            <w:pPr>
              <w:keepNext w:val="0"/>
              <w:keepLines w:val="0"/>
              <w:widowControl/>
              <w:numPr>
                <w:ilvl w:val="0"/>
                <w:numId w:val="3"/>
              </w:numPr>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 xml:space="preserve">符合GB21976.7-2012《建筑火灾逃生避难器材第7部分：过滤式消防自救呼吸器》标准，提供国家消防装备质量监督检验中心出具的检验报告及3C认证证书复印件； </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 xml:space="preserve">2.可有效防护火灾时产生的一氧化碳（CO）、氰化氢（HCN）、有毒烟雾对人体的伤害；具有阻燃性能； </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 xml:space="preserve">3.防护时间≥30min； </w:t>
            </w:r>
          </w:p>
          <w:p>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 xml:space="preserve">4.吸气阻力≤800Pa，呼气阻力≤300Pa； </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5.微粒过滤性能≥95%； 6.重量≤1000g。</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cs="宋体"/>
                <w:b w:val="0"/>
                <w:bCs w:val="0"/>
                <w:i w:val="0"/>
                <w:iCs w:val="0"/>
                <w:color w:val="000000"/>
                <w:kern w:val="0"/>
                <w:sz w:val="21"/>
                <w:szCs w:val="21"/>
                <w:highlight w:val="none"/>
                <w:u w:val="none"/>
                <w:lang w:val="en-US" w:eastAsia="zh-CN" w:bidi="ar"/>
              </w:rPr>
              <w:t>6.</w:t>
            </w:r>
            <w:r>
              <w:rPr>
                <w:rFonts w:hint="eastAsia" w:ascii="宋体" w:hAnsi="宋体" w:eastAsia="宋体" w:cs="宋体"/>
                <w:b w:val="0"/>
                <w:bCs w:val="0"/>
                <w:i w:val="0"/>
                <w:iCs w:val="0"/>
                <w:color w:val="000000"/>
                <w:kern w:val="0"/>
                <w:sz w:val="21"/>
                <w:szCs w:val="21"/>
                <w:highlight w:val="none"/>
                <w:u w:val="none"/>
                <w:lang w:val="en-US" w:eastAsia="zh-CN" w:bidi="ar"/>
              </w:rPr>
              <w:t>提供消防认证、合格证、3C认证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15</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O型扣逃生绳</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符合GA494-2004标准；用途：消防员灭火救援、抢险救灾或日常训练。结构：为夹心绳，直径10mm 钢丝直径4mm、拉力1100KG，材质航空钢丝+丙纶工业丝+优质碳素结构钢有收纳袋，提供消防认证、合格证、3C认证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16</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逃生缓降器</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缓降器达到GB.21976.2-2012救生缓降器的标准要求。</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 xml:space="preserve">承重100KG </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提供消防认证、合格证、3C认证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17</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消防柜</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三门开、（长*宽*高）180*160*39cm、金属材质厚度：1.0mm、平开门、带钥匙钥匙锁、提供检测报告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18</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干粉灭火器</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4KG ABC手提式干粉灭火器 提供消防认证、合格证、3C认证</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 xml:space="preserve">干粉新国标GB 4066-2017 </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提供消防认证、合格证、3C认证 一瓶一码防伪标识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19</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灭火器箱</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lang w:val="en-US" w:eastAsia="zh-CN" w:bidi="ar-SA"/>
              </w:rPr>
            </w:pPr>
            <w:r>
              <w:rPr>
                <w:rFonts w:hint="eastAsia" w:ascii="宋体" w:hAnsi="宋体" w:cs="宋体"/>
                <w:b w:val="0"/>
                <w:bCs w:val="0"/>
                <w:i w:val="0"/>
                <w:iCs w:val="0"/>
                <w:color w:val="000000"/>
                <w:kern w:val="0"/>
                <w:sz w:val="21"/>
                <w:szCs w:val="21"/>
                <w:u w:val="none"/>
                <w:lang w:val="en-US" w:eastAsia="zh-CN" w:bidi="ar"/>
              </w:rPr>
              <w:t>1.</w:t>
            </w:r>
            <w:r>
              <w:rPr>
                <w:rFonts w:hint="eastAsia" w:ascii="宋体" w:hAnsi="宋体" w:eastAsia="宋体" w:cs="宋体"/>
                <w:b w:val="0"/>
                <w:bCs w:val="0"/>
                <w:i w:val="0"/>
                <w:iCs w:val="0"/>
                <w:color w:val="000000"/>
                <w:kern w:val="0"/>
                <w:sz w:val="21"/>
                <w:szCs w:val="21"/>
                <w:u w:val="none"/>
                <w:lang w:val="en-US" w:eastAsia="zh-CN" w:bidi="ar"/>
              </w:rPr>
              <w:t xml:space="preserve">手提式灭火器箱国标GA 139—1996)灭火器箱箱体应端正，不应有歪斜、翘曲等变形现象。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cs="宋体"/>
                <w:b w:val="0"/>
                <w:bCs w:val="0"/>
                <w:i w:val="0"/>
                <w:iCs w:val="0"/>
                <w:color w:val="000000"/>
                <w:kern w:val="0"/>
                <w:sz w:val="21"/>
                <w:szCs w:val="21"/>
                <w:u w:val="none"/>
                <w:lang w:val="en-US" w:eastAsia="zh-CN" w:bidi="ar"/>
              </w:rPr>
              <w:t>2.</w:t>
            </w:r>
            <w:r>
              <w:rPr>
                <w:rFonts w:hint="eastAsia" w:ascii="宋体" w:hAnsi="宋体" w:eastAsia="宋体" w:cs="宋体"/>
                <w:b w:val="0"/>
                <w:bCs w:val="0"/>
                <w:i w:val="0"/>
                <w:iCs w:val="0"/>
                <w:color w:val="000000"/>
                <w:kern w:val="0"/>
                <w:sz w:val="21"/>
                <w:szCs w:val="21"/>
                <w:u w:val="none"/>
                <w:lang w:val="en-US" w:eastAsia="zh-CN" w:bidi="ar"/>
              </w:rPr>
              <w:t xml:space="preserve">箱体各表面应无凹凸不平等加工缺陷。各面之间的垂直度公差不应大于3mm。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cs="宋体"/>
                <w:b w:val="0"/>
                <w:bCs w:val="0"/>
                <w:i w:val="0"/>
                <w:iCs w:val="0"/>
                <w:color w:val="000000"/>
                <w:kern w:val="0"/>
                <w:sz w:val="21"/>
                <w:szCs w:val="21"/>
                <w:u w:val="none"/>
                <w:lang w:val="en-US" w:eastAsia="zh-CN" w:bidi="ar"/>
              </w:rPr>
              <w:t>3.</w:t>
            </w:r>
            <w:r>
              <w:rPr>
                <w:rFonts w:hint="eastAsia" w:ascii="宋体" w:hAnsi="宋体" w:eastAsia="宋体" w:cs="宋体"/>
                <w:b w:val="0"/>
                <w:bCs w:val="0"/>
                <w:i w:val="0"/>
                <w:iCs w:val="0"/>
                <w:color w:val="000000"/>
                <w:kern w:val="0"/>
                <w:sz w:val="21"/>
                <w:szCs w:val="21"/>
                <w:u w:val="none"/>
                <w:lang w:val="en-US" w:eastAsia="zh-CN" w:bidi="ar"/>
              </w:rPr>
              <w:t xml:space="preserve">置地型灭火器箱应能平稳安放，在水平地面上不应有倾斜摇晃。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cs="宋体"/>
                <w:b w:val="0"/>
                <w:bCs w:val="0"/>
                <w:i w:val="0"/>
                <w:iCs w:val="0"/>
                <w:color w:val="000000"/>
                <w:kern w:val="0"/>
                <w:sz w:val="21"/>
                <w:szCs w:val="21"/>
                <w:u w:val="none"/>
                <w:lang w:val="en-US" w:eastAsia="zh-CN" w:bidi="ar"/>
              </w:rPr>
              <w:t>4.</w:t>
            </w:r>
            <w:r>
              <w:rPr>
                <w:rFonts w:hint="eastAsia" w:ascii="宋体" w:hAnsi="宋体" w:eastAsia="宋体" w:cs="宋体"/>
                <w:b w:val="0"/>
                <w:bCs w:val="0"/>
                <w:i w:val="0"/>
                <w:iCs w:val="0"/>
                <w:color w:val="000000"/>
                <w:kern w:val="0"/>
                <w:sz w:val="21"/>
                <w:szCs w:val="21"/>
                <w:u w:val="none"/>
                <w:lang w:val="en-US" w:eastAsia="zh-CN" w:bidi="ar"/>
              </w:rPr>
              <w:t xml:space="preserve">灭火器箱箱门关闭到位后，应与四周框面平齐，其平面度公差不应大于2mm；箱门与框之间的间隙应均匀平直，最大间隙不应大于3mm。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cs="宋体"/>
                <w:b w:val="0"/>
                <w:bCs w:val="0"/>
                <w:i w:val="0"/>
                <w:iCs w:val="0"/>
                <w:color w:val="000000"/>
                <w:kern w:val="0"/>
                <w:sz w:val="21"/>
                <w:szCs w:val="21"/>
                <w:u w:val="none"/>
                <w:lang w:val="en-US" w:eastAsia="zh-CN" w:bidi="ar"/>
              </w:rPr>
              <w:t>5.</w:t>
            </w:r>
            <w:r>
              <w:rPr>
                <w:rFonts w:hint="eastAsia" w:ascii="宋体" w:hAnsi="宋体" w:eastAsia="宋体" w:cs="宋体"/>
                <w:b w:val="0"/>
                <w:bCs w:val="0"/>
                <w:i w:val="0"/>
                <w:iCs w:val="0"/>
                <w:color w:val="000000"/>
                <w:kern w:val="0"/>
                <w:sz w:val="21"/>
                <w:szCs w:val="21"/>
                <w:u w:val="none"/>
                <w:lang w:val="en-US" w:eastAsia="zh-CN" w:bidi="ar"/>
              </w:rPr>
              <w:t xml:space="preserve">灭火器箱正面上的零部件，凸出箱门外表平面的高度不应大于15mm；其余各面的零部件，凸出该面外表面的高度不应超过10mm。箱盖在正面上凸出不应超过30mm，在侧面上凸出不应超过45mm，但均不应小于15mm。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cs="宋体"/>
                <w:b w:val="0"/>
                <w:bCs w:val="0"/>
                <w:i w:val="0"/>
                <w:iCs w:val="0"/>
                <w:color w:val="000000"/>
                <w:kern w:val="0"/>
                <w:sz w:val="21"/>
                <w:szCs w:val="21"/>
                <w:u w:val="none"/>
                <w:lang w:val="en-US" w:eastAsia="zh-CN" w:bidi="ar"/>
              </w:rPr>
              <w:t>6.</w:t>
            </w:r>
            <w:r>
              <w:rPr>
                <w:rFonts w:hint="eastAsia" w:ascii="宋体" w:hAnsi="宋体" w:eastAsia="宋体" w:cs="宋体"/>
                <w:b w:val="0"/>
                <w:bCs w:val="0"/>
                <w:i w:val="0"/>
                <w:iCs w:val="0"/>
                <w:color w:val="000000"/>
                <w:kern w:val="0"/>
                <w:sz w:val="21"/>
                <w:szCs w:val="21"/>
                <w:u w:val="none"/>
                <w:lang w:val="en-US" w:eastAsia="zh-CN" w:bidi="ar"/>
              </w:rPr>
              <w:t xml:space="preserve">灭火器箱箱体焊接或铆接应牢固，不应有烧穿、焊瘤、毛刺和铆印等缺陷；冲压件表面不应有折皱等缺陷。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cs="宋体"/>
                <w:b w:val="0"/>
                <w:bCs w:val="0"/>
                <w:i w:val="0"/>
                <w:iCs w:val="0"/>
                <w:color w:val="000000"/>
                <w:kern w:val="0"/>
                <w:sz w:val="21"/>
                <w:szCs w:val="21"/>
                <w:u w:val="none"/>
                <w:lang w:val="en-US" w:eastAsia="zh-CN" w:bidi="ar"/>
              </w:rPr>
              <w:t>7.</w:t>
            </w:r>
            <w:r>
              <w:rPr>
                <w:rFonts w:hint="eastAsia" w:ascii="宋体" w:hAnsi="宋体" w:eastAsia="宋体" w:cs="宋体"/>
                <w:b w:val="0"/>
                <w:bCs w:val="0"/>
                <w:i w:val="0"/>
                <w:iCs w:val="0"/>
                <w:color w:val="000000"/>
                <w:kern w:val="0"/>
                <w:sz w:val="21"/>
                <w:szCs w:val="21"/>
                <w:u w:val="none"/>
                <w:lang w:val="en-US" w:eastAsia="zh-CN" w:bidi="ar"/>
              </w:rPr>
              <w:t xml:space="preserve">灭火器箱箱体表面应作防腐处理。进行涂漆防腐处理的灭火器箱，其涂层应光滑平整，色泽均匀，无流痕、龟裂、气泡、划痕、碰伤和剥落等缺陷。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cs="宋体"/>
                <w:b w:val="0"/>
                <w:bCs w:val="0"/>
                <w:i w:val="0"/>
                <w:iCs w:val="0"/>
                <w:color w:val="000000"/>
                <w:kern w:val="0"/>
                <w:sz w:val="21"/>
                <w:szCs w:val="21"/>
                <w:u w:val="none"/>
                <w:lang w:val="en-US" w:eastAsia="zh-CN" w:bidi="ar"/>
              </w:rPr>
              <w:t>8.</w:t>
            </w:r>
            <w:r>
              <w:rPr>
                <w:rFonts w:hint="eastAsia" w:ascii="宋体" w:hAnsi="宋体" w:eastAsia="宋体" w:cs="宋体"/>
                <w:b w:val="0"/>
                <w:bCs w:val="0"/>
                <w:i w:val="0"/>
                <w:iCs w:val="0"/>
                <w:color w:val="000000"/>
                <w:kern w:val="0"/>
                <w:sz w:val="21"/>
                <w:szCs w:val="21"/>
                <w:u w:val="none"/>
                <w:lang w:val="en-US" w:eastAsia="zh-CN" w:bidi="ar"/>
              </w:rPr>
              <w:t xml:space="preserve">开门式灭火器箱应设置门锁或箱门关紧装置。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cs="宋体"/>
                <w:b w:val="0"/>
                <w:bCs w:val="0"/>
                <w:i w:val="0"/>
                <w:iCs w:val="0"/>
                <w:color w:val="000000"/>
                <w:kern w:val="0"/>
                <w:sz w:val="21"/>
                <w:szCs w:val="21"/>
                <w:u w:val="none"/>
                <w:lang w:val="en-US" w:eastAsia="zh-CN" w:bidi="ar"/>
              </w:rPr>
              <w:t>9.</w:t>
            </w:r>
            <w:r>
              <w:rPr>
                <w:rFonts w:hint="eastAsia" w:ascii="宋体" w:hAnsi="宋体" w:eastAsia="宋体" w:cs="宋体"/>
                <w:b w:val="0"/>
                <w:bCs w:val="0"/>
                <w:i w:val="0"/>
                <w:iCs w:val="0"/>
                <w:color w:val="000000"/>
                <w:kern w:val="0"/>
                <w:sz w:val="21"/>
                <w:szCs w:val="21"/>
                <w:u w:val="none"/>
                <w:lang w:val="en-US" w:eastAsia="zh-CN" w:bidi="ar"/>
              </w:rPr>
              <w:t xml:space="preserve">设置门锁的灭火器箱均应设置箱门紧急开启的手动机构。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cs="宋体"/>
                <w:b w:val="0"/>
                <w:bCs w:val="0"/>
                <w:i w:val="0"/>
                <w:iCs w:val="0"/>
                <w:color w:val="000000"/>
                <w:kern w:val="0"/>
                <w:sz w:val="21"/>
                <w:szCs w:val="21"/>
                <w:u w:val="none"/>
                <w:lang w:val="en-US" w:eastAsia="zh-CN" w:bidi="ar"/>
              </w:rPr>
              <w:t>10</w:t>
            </w:r>
            <w:r>
              <w:rPr>
                <w:rFonts w:hint="eastAsia" w:ascii="宋体" w:hAnsi="宋体" w:eastAsia="宋体" w:cs="宋体"/>
                <w:b w:val="0"/>
                <w:bCs w:val="0"/>
                <w:i w:val="0"/>
                <w:iCs w:val="0"/>
                <w:color w:val="000000"/>
                <w:kern w:val="0"/>
                <w:sz w:val="21"/>
                <w:szCs w:val="21"/>
                <w:u w:val="none"/>
                <w:lang w:val="en-US" w:eastAsia="zh-CN" w:bidi="ar"/>
              </w:rPr>
              <w:t xml:space="preserve">灭火器箱箱门(箱盖)开启操作应轻便灵活，无卡阻现象，开启力不应大于50N。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cs="宋体"/>
                <w:b w:val="0"/>
                <w:bCs w:val="0"/>
                <w:i w:val="0"/>
                <w:iCs w:val="0"/>
                <w:color w:val="000000"/>
                <w:kern w:val="0"/>
                <w:sz w:val="21"/>
                <w:szCs w:val="21"/>
                <w:u w:val="none"/>
                <w:lang w:val="en-US" w:eastAsia="zh-CN" w:bidi="ar"/>
              </w:rPr>
              <w:t>11.</w:t>
            </w:r>
            <w:r>
              <w:rPr>
                <w:rFonts w:hint="eastAsia" w:ascii="宋体" w:hAnsi="宋体" w:eastAsia="宋体" w:cs="宋体"/>
                <w:b w:val="0"/>
                <w:bCs w:val="0"/>
                <w:i w:val="0"/>
                <w:iCs w:val="0"/>
                <w:color w:val="000000"/>
                <w:kern w:val="0"/>
                <w:sz w:val="21"/>
                <w:szCs w:val="21"/>
                <w:u w:val="none"/>
                <w:lang w:val="en-US" w:eastAsia="zh-CN" w:bidi="ar"/>
              </w:rPr>
              <w:t xml:space="preserve">开门式灭火器箱的箱门开启角度不应小于175°；翻盖式灭火器箱的箱盖开启角度不应小于100°。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20</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灭火器推车</w:t>
            </w:r>
          </w:p>
        </w:tc>
        <w:tc>
          <w:tcPr>
            <w:tcW w:w="5957" w:type="dxa"/>
            <w:vAlign w:val="center"/>
          </w:tcPr>
          <w:p>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cs="宋体"/>
                <w:b w:val="0"/>
                <w:bCs w:val="0"/>
                <w:i w:val="0"/>
                <w:iCs w:val="0"/>
                <w:color w:val="000000"/>
                <w:kern w:val="0"/>
                <w:sz w:val="21"/>
                <w:szCs w:val="21"/>
                <w:highlight w:val="none"/>
                <w:u w:val="none"/>
                <w:lang w:val="en-US" w:eastAsia="zh-CN" w:bidi="ar"/>
              </w:rPr>
              <w:t>1.</w:t>
            </w:r>
            <w:r>
              <w:rPr>
                <w:rFonts w:hint="eastAsia" w:ascii="宋体" w:hAnsi="宋体" w:eastAsia="宋体" w:cs="宋体"/>
                <w:b w:val="0"/>
                <w:bCs w:val="0"/>
                <w:i w:val="0"/>
                <w:iCs w:val="0"/>
                <w:color w:val="000000"/>
                <w:kern w:val="0"/>
                <w:sz w:val="21"/>
                <w:szCs w:val="21"/>
                <w:highlight w:val="none"/>
                <w:u w:val="none"/>
                <w:lang w:val="en-US" w:eastAsia="zh-CN" w:bidi="ar"/>
              </w:rPr>
              <w:t>推车式干粉灭火器适用于A,BC类火灾，可灭固体，液态，气态，带电物质的火灾。</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Fonts w:hint="eastAsia" w:ascii="宋体" w:hAnsi="宋体" w:cs="宋体"/>
                <w:b w:val="0"/>
                <w:bCs w:val="0"/>
                <w:i w:val="0"/>
                <w:iCs w:val="0"/>
                <w:color w:val="000000"/>
                <w:kern w:val="0"/>
                <w:sz w:val="21"/>
                <w:szCs w:val="21"/>
                <w:highlight w:val="none"/>
                <w:u w:val="none"/>
                <w:lang w:val="en-US" w:eastAsia="zh-CN" w:bidi="ar"/>
              </w:rPr>
              <w:t>2.</w:t>
            </w:r>
            <w:r>
              <w:rPr>
                <w:rFonts w:hint="eastAsia" w:ascii="宋体" w:hAnsi="宋体" w:eastAsia="宋体" w:cs="宋体"/>
                <w:b w:val="0"/>
                <w:bCs w:val="0"/>
                <w:i w:val="0"/>
                <w:iCs w:val="0"/>
                <w:color w:val="000000"/>
                <w:kern w:val="0"/>
                <w:sz w:val="21"/>
                <w:szCs w:val="21"/>
                <w:highlight w:val="none"/>
                <w:u w:val="none"/>
                <w:lang w:val="en-US" w:eastAsia="zh-CN" w:bidi="ar"/>
              </w:rPr>
              <w:t>符合国家ccc标准，提供检验报告。提供消防认证、合格证、3C认证 一瓶一码防伪标识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21</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灭火毯</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灭火毯：火场救生和重要物品保护。耐燃玻璃纤维材料，防火布夹层织制，在550℃火焰中不熔滴，不燃烧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22</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手持扩音呐叭</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30W充电式连续工作15小时以上，带录音回放功能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23</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正压式呼吸器</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提供消防认证、合格证、3C认证、检测报告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24</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二氧化碳</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气体灭火器</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带箱、提供消防认证、合格证、3C认证 一瓶一码防伪标识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25</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消防水带接头</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2.5寸消火栓接头65mm内式 消防接扣KD65、带卡箍、带3C认证、消防认证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26</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消防绝缘钳</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铬钒合金 长度600mm 24寸 消防认证、检测报告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27</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吸水自膨胀消防袋</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吸水膨胀消防阻水袋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28</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消防铁锹</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1米长木柄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29</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水基型室内灭火器</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灭火剂填充量 3L ,水基喷射距离≥3米.喷射时间≥15秒.灭火级别1A 55B E使用温度-20℃~+55℃，提供消防认证 3C认证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30</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 xml:space="preserve">PLJ </w:t>
            </w:r>
            <w:r>
              <w:rPr>
                <w:rStyle w:val="72"/>
                <w:rFonts w:hint="eastAsia" w:ascii="宋体" w:hAnsi="宋体" w:eastAsia="宋体" w:cs="宋体"/>
                <w:b w:val="0"/>
                <w:bCs w:val="0"/>
                <w:sz w:val="21"/>
                <w:szCs w:val="21"/>
                <w:lang w:val="en-US" w:eastAsia="zh-CN" w:bidi="ar"/>
              </w:rPr>
              <w:t>警戒隔离线</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加厚帆布警戒带警戒线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31</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胶马护栏</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18"/>
                <w:szCs w:val="18"/>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可移动护栏，尺寸≥1560*1000mm，底高250mm</w:t>
            </w:r>
          </w:p>
        </w:tc>
      </w:tr>
      <w:bookmarkEnd w:id="30"/>
    </w:tbl>
    <w:p/>
    <w:p>
      <w:pPr>
        <w:pStyle w:val="5"/>
        <w:spacing w:before="120" w:beforeLines="50" w:after="120" w:afterLines="50"/>
        <w:rPr>
          <w:rFonts w:cs="宋体"/>
          <w:szCs w:val="28"/>
        </w:rPr>
      </w:pPr>
      <w:r>
        <w:rPr>
          <w:rFonts w:hint="eastAsia" w:cs="宋体"/>
          <w:szCs w:val="28"/>
        </w:rPr>
        <w:t>四、商务需求</w:t>
      </w:r>
    </w:p>
    <w:p>
      <w:pPr>
        <w:rPr>
          <w:rFonts w:ascii="宋体" w:hAnsi="宋体" w:cs="宋体"/>
        </w:rPr>
      </w:pPr>
    </w:p>
    <w:p>
      <w:pPr>
        <w:rPr>
          <w:rFonts w:ascii="宋体" w:hAnsi="宋体" w:cs="宋体"/>
          <w:b/>
        </w:rPr>
      </w:pPr>
    </w:p>
    <w:tbl>
      <w:tblPr>
        <w:tblStyle w:val="39"/>
        <w:tblW w:w="90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660"/>
        <w:gridCol w:w="6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序号</w:t>
            </w:r>
          </w:p>
        </w:tc>
        <w:tc>
          <w:tcPr>
            <w:tcW w:w="1660" w:type="dxa"/>
            <w:vAlign w:val="center"/>
          </w:tcPr>
          <w:p>
            <w:pPr>
              <w:jc w:val="center"/>
              <w:rPr>
                <w:rFonts w:ascii="宋体" w:hAnsi="宋体" w:cs="宋体"/>
                <w:b/>
              </w:rPr>
            </w:pPr>
            <w:r>
              <w:rPr>
                <w:rFonts w:hint="eastAsia" w:ascii="宋体" w:hAnsi="宋体" w:cs="宋体"/>
                <w:b/>
              </w:rPr>
              <w:t>目录</w:t>
            </w:r>
          </w:p>
        </w:tc>
        <w:tc>
          <w:tcPr>
            <w:tcW w:w="6088" w:type="dxa"/>
            <w:vAlign w:val="center"/>
          </w:tcPr>
          <w:p>
            <w:pPr>
              <w:jc w:val="center"/>
              <w:rPr>
                <w:rFonts w:ascii="宋体" w:hAnsi="宋体" w:cs="宋体"/>
                <w:b/>
              </w:rPr>
            </w:pPr>
            <w:r>
              <w:rPr>
                <w:rFonts w:hint="eastAsia" w:ascii="宋体" w:hAnsi="宋体" w:cs="宋体"/>
                <w:b/>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pPr>
              <w:rPr>
                <w:rFonts w:ascii="宋体" w:hAnsi="宋体" w:cs="宋体"/>
                <w:b/>
              </w:rPr>
            </w:pPr>
            <w:r>
              <w:rPr>
                <w:rFonts w:hint="eastAsia" w:ascii="宋体" w:hAnsi="宋体" w:cs="宋体"/>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1</w:t>
            </w:r>
          </w:p>
        </w:tc>
        <w:tc>
          <w:tcPr>
            <w:tcW w:w="1660" w:type="dxa"/>
            <w:vAlign w:val="center"/>
          </w:tcPr>
          <w:p>
            <w:pPr>
              <w:rPr>
                <w:rFonts w:ascii="宋体" w:hAnsi="宋体" w:cs="宋体"/>
              </w:rPr>
            </w:pPr>
            <w:r>
              <w:rPr>
                <w:rFonts w:hint="eastAsia" w:ascii="宋体" w:hAnsi="宋体" w:cs="宋体"/>
              </w:rPr>
              <w:t>免费保修期</w:t>
            </w:r>
          </w:p>
        </w:tc>
        <w:tc>
          <w:tcPr>
            <w:tcW w:w="6088" w:type="dxa"/>
          </w:tcPr>
          <w:p>
            <w:pPr>
              <w:rPr>
                <w:rFonts w:ascii="宋体" w:hAnsi="宋体" w:cs="宋体"/>
                <w:b/>
              </w:rPr>
            </w:pPr>
            <w:r>
              <w:rPr>
                <w:rFonts w:hint="eastAsia" w:ascii="宋体" w:hAnsi="宋体" w:cs="宋体"/>
                <w:bCs/>
                <w:szCs w:val="21"/>
              </w:rPr>
              <w:t>货物免费保修期</w:t>
            </w:r>
            <w:r>
              <w:rPr>
                <w:rFonts w:hint="eastAsia" w:ascii="宋体" w:hAnsi="宋体" w:cs="宋体"/>
                <w:bCs/>
                <w:szCs w:val="21"/>
                <w:u w:val="single"/>
                <w:shd w:val="clear" w:color="auto" w:fill="FFFF00"/>
              </w:rPr>
              <w:t xml:space="preserve"> 2  </w:t>
            </w:r>
            <w:r>
              <w:rPr>
                <w:rFonts w:hint="eastAsia" w:ascii="宋体" w:hAnsi="宋体" w:cs="宋体"/>
                <w:bCs/>
                <w:szCs w:val="21"/>
              </w:rPr>
              <w:t>年(</w:t>
            </w:r>
            <w:r>
              <w:rPr>
                <w:rFonts w:hint="eastAsia" w:ascii="宋体" w:hAnsi="宋体" w:cs="宋体"/>
                <w:b/>
                <w:bCs/>
                <w:color w:val="FF0000"/>
                <w:szCs w:val="21"/>
              </w:rPr>
              <w:t>耗材</w:t>
            </w:r>
            <w:r>
              <w:rPr>
                <w:rFonts w:ascii="宋体" w:hAnsi="宋体" w:cs="宋体"/>
                <w:b/>
                <w:bCs/>
                <w:color w:val="FF0000"/>
                <w:szCs w:val="21"/>
              </w:rPr>
              <w:t>除外</w:t>
            </w:r>
            <w:r>
              <w:rPr>
                <w:rFonts w:hint="eastAsia" w:ascii="宋体" w:hAnsi="宋体" w:cs="宋体"/>
                <w:bCs/>
                <w:szCs w:val="21"/>
              </w:rPr>
              <w:t>)，时间自最终验收合格并交付使用之日起计算。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2</w:t>
            </w:r>
          </w:p>
        </w:tc>
        <w:tc>
          <w:tcPr>
            <w:tcW w:w="1660" w:type="dxa"/>
          </w:tcPr>
          <w:p>
            <w:pPr>
              <w:rPr>
                <w:rFonts w:ascii="宋体" w:hAnsi="宋体" w:cs="宋体"/>
              </w:rPr>
            </w:pPr>
            <w:r>
              <w:rPr>
                <w:rFonts w:hint="eastAsia" w:ascii="宋体" w:hAnsi="宋体" w:cs="宋体"/>
              </w:rPr>
              <w:t>维修响应及故障解决时间</w:t>
            </w:r>
          </w:p>
        </w:tc>
        <w:tc>
          <w:tcPr>
            <w:tcW w:w="6088" w:type="dxa"/>
          </w:tcPr>
          <w:p>
            <w:pPr>
              <w:rPr>
                <w:rFonts w:ascii="宋体" w:hAnsi="宋体" w:cs="宋体"/>
                <w:b/>
              </w:rPr>
            </w:pPr>
            <w:r>
              <w:rPr>
                <w:rFonts w:hint="eastAsia" w:ascii="宋体" w:hAnsi="宋体" w:cs="宋体"/>
                <w:bCs/>
                <w:szCs w:val="21"/>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3</w:t>
            </w:r>
          </w:p>
        </w:tc>
        <w:tc>
          <w:tcPr>
            <w:tcW w:w="1660" w:type="dxa"/>
            <w:vAlign w:val="center"/>
          </w:tcPr>
          <w:p>
            <w:pPr>
              <w:rPr>
                <w:rFonts w:ascii="宋体" w:hAnsi="宋体" w:cs="宋体"/>
                <w:b/>
              </w:rPr>
            </w:pPr>
            <w:r>
              <w:rPr>
                <w:rFonts w:hint="eastAsia" w:ascii="宋体" w:hAnsi="宋体" w:cs="宋体"/>
              </w:rPr>
              <w:t>其他</w:t>
            </w:r>
          </w:p>
        </w:tc>
        <w:tc>
          <w:tcPr>
            <w:tcW w:w="6088" w:type="dxa"/>
            <w:vAlign w:val="center"/>
          </w:tcPr>
          <w:p>
            <w:pPr>
              <w:rPr>
                <w:rFonts w:ascii="宋体" w:hAnsi="宋体" w:cs="宋体"/>
                <w:b/>
              </w:rPr>
            </w:pPr>
            <w:r>
              <w:rPr>
                <w:rFonts w:hint="eastAsia" w:ascii="宋体" w:hAnsi="宋体" w:cs="宋体"/>
                <w:bCs/>
                <w:szCs w:val="21"/>
              </w:rPr>
              <w:t>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pPr>
              <w:rPr>
                <w:rFonts w:ascii="宋体" w:hAnsi="宋体" w:cs="宋体"/>
                <w:b/>
              </w:rPr>
            </w:pPr>
            <w:r>
              <w:rPr>
                <w:rFonts w:hint="eastAsia" w:ascii="宋体" w:hAnsi="宋体" w:cs="宋体"/>
                <w:b/>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1</w:t>
            </w:r>
          </w:p>
        </w:tc>
        <w:tc>
          <w:tcPr>
            <w:tcW w:w="1660" w:type="dxa"/>
            <w:vMerge w:val="restart"/>
            <w:vAlign w:val="center"/>
          </w:tcPr>
          <w:p>
            <w:pPr>
              <w:jc w:val="center"/>
              <w:rPr>
                <w:rFonts w:ascii="宋体" w:hAnsi="宋体" w:cs="宋体"/>
              </w:rPr>
            </w:pPr>
            <w:r>
              <w:rPr>
                <w:rFonts w:hint="eastAsia" w:ascii="宋体" w:hAnsi="宋体" w:cs="宋体"/>
              </w:rPr>
              <w:t>关于交货</w:t>
            </w:r>
          </w:p>
        </w:tc>
        <w:tc>
          <w:tcPr>
            <w:tcW w:w="6088" w:type="dxa"/>
          </w:tcPr>
          <w:p>
            <w:pPr>
              <w:rPr>
                <w:rFonts w:ascii="宋体" w:hAnsi="宋体" w:cs="宋体"/>
                <w:b/>
              </w:rPr>
            </w:pPr>
            <w:r>
              <w:rPr>
                <w:rFonts w:hint="eastAsia" w:ascii="宋体" w:hAnsi="宋体" w:cs="宋体"/>
                <w:bCs/>
                <w:szCs w:val="21"/>
              </w:rPr>
              <w:t xml:space="preserve">1.1签订合同后 </w:t>
            </w:r>
            <w:r>
              <w:rPr>
                <w:rFonts w:hint="eastAsia" w:ascii="宋体" w:hAnsi="宋体" w:cs="宋体"/>
                <w:b/>
                <w:color w:val="FF0000"/>
                <w:szCs w:val="21"/>
                <w:u w:val="single"/>
                <w:shd w:val="clear" w:color="auto" w:fill="FFFF00"/>
              </w:rPr>
              <w:t xml:space="preserve"> </w:t>
            </w:r>
            <w:r>
              <w:rPr>
                <w:rFonts w:ascii="宋体" w:hAnsi="宋体" w:cs="宋体"/>
                <w:b/>
                <w:color w:val="FF0000"/>
                <w:szCs w:val="21"/>
                <w:u w:val="single"/>
                <w:shd w:val="clear" w:color="auto" w:fill="FFFF00"/>
              </w:rPr>
              <w:t>3</w:t>
            </w:r>
            <w:r>
              <w:rPr>
                <w:rFonts w:hint="eastAsia" w:ascii="宋体" w:hAnsi="宋体" w:cs="宋体"/>
                <w:b/>
                <w:color w:val="FF0000"/>
                <w:szCs w:val="21"/>
                <w:u w:val="single"/>
                <w:shd w:val="clear" w:color="auto" w:fill="FFFF00"/>
              </w:rPr>
              <w:t xml:space="preserve"> </w:t>
            </w:r>
            <w:r>
              <w:rPr>
                <w:rFonts w:hint="eastAsia" w:ascii="宋体" w:hAnsi="宋体" w:cs="宋体"/>
                <w:bCs/>
                <w:szCs w:val="21"/>
              </w:rPr>
              <w:t>天（日历日）内。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pPr>
              <w:jc w:val="center"/>
              <w:rPr>
                <w:rFonts w:ascii="宋体" w:hAnsi="宋体" w:cs="宋体"/>
                <w:b/>
              </w:rPr>
            </w:pPr>
          </w:p>
        </w:tc>
        <w:tc>
          <w:tcPr>
            <w:tcW w:w="1660" w:type="dxa"/>
            <w:vMerge w:val="continue"/>
            <w:vAlign w:val="center"/>
          </w:tcPr>
          <w:p>
            <w:pPr>
              <w:jc w:val="center"/>
              <w:rPr>
                <w:rFonts w:ascii="宋体" w:hAnsi="宋体" w:cs="宋体"/>
              </w:rPr>
            </w:pPr>
          </w:p>
        </w:tc>
        <w:tc>
          <w:tcPr>
            <w:tcW w:w="6088" w:type="dxa"/>
          </w:tcPr>
          <w:p>
            <w:pPr>
              <w:rPr>
                <w:rFonts w:ascii="宋体" w:hAnsi="宋体" w:cs="宋体"/>
                <w:bCs/>
                <w:szCs w:val="21"/>
              </w:rPr>
            </w:pPr>
            <w:r>
              <w:rPr>
                <w:rFonts w:hint="eastAsia" w:ascii="宋体" w:hAnsi="宋体" w:cs="宋体"/>
                <w:bCs/>
                <w:szCs w:val="21"/>
              </w:rPr>
              <w:t>1.2投标人必须承担的设备运输、安装调试、验收检测和提供设备操作说明书、图纸等其他类似的义务。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2</w:t>
            </w:r>
          </w:p>
        </w:tc>
        <w:tc>
          <w:tcPr>
            <w:tcW w:w="1660" w:type="dxa"/>
            <w:vMerge w:val="restart"/>
            <w:vAlign w:val="center"/>
          </w:tcPr>
          <w:p>
            <w:pPr>
              <w:jc w:val="center"/>
              <w:rPr>
                <w:rFonts w:ascii="宋体" w:hAnsi="宋体" w:cs="宋体"/>
              </w:rPr>
            </w:pPr>
            <w:r>
              <w:rPr>
                <w:rFonts w:hint="eastAsia" w:ascii="宋体" w:hAnsi="宋体" w:cs="宋体"/>
              </w:rPr>
              <w:t>关于验收</w:t>
            </w:r>
          </w:p>
        </w:tc>
        <w:tc>
          <w:tcPr>
            <w:tcW w:w="6088" w:type="dxa"/>
          </w:tcPr>
          <w:p>
            <w:pPr>
              <w:spacing w:line="340" w:lineRule="exact"/>
              <w:rPr>
                <w:rFonts w:ascii="宋体" w:hAnsi="宋体" w:cs="宋体"/>
                <w:bCs/>
                <w:szCs w:val="21"/>
              </w:rPr>
            </w:pPr>
            <w:r>
              <w:rPr>
                <w:rFonts w:hint="eastAsia" w:ascii="宋体" w:hAnsi="宋体" w:cs="宋体"/>
                <w:bCs/>
                <w:szCs w:val="21"/>
              </w:rPr>
              <w:t>1.1投标人货物经过双方检验认可后，签署验收报告，产品保修期自验收合格之日起算，由投标人提供产品保修文件。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pPr>
              <w:jc w:val="center"/>
              <w:rPr>
                <w:rFonts w:ascii="宋体" w:hAnsi="宋体" w:cs="宋体"/>
                <w:b/>
              </w:rPr>
            </w:pPr>
          </w:p>
        </w:tc>
        <w:tc>
          <w:tcPr>
            <w:tcW w:w="1660" w:type="dxa"/>
            <w:vMerge w:val="continue"/>
          </w:tcPr>
          <w:p>
            <w:pPr>
              <w:rPr>
                <w:rFonts w:ascii="宋体" w:hAnsi="宋体" w:cs="宋体"/>
                <w:b/>
              </w:rPr>
            </w:pPr>
          </w:p>
        </w:tc>
        <w:tc>
          <w:tcPr>
            <w:tcW w:w="6088" w:type="dxa"/>
          </w:tcPr>
          <w:p>
            <w:pPr>
              <w:spacing w:line="340" w:lineRule="exact"/>
              <w:rPr>
                <w:rFonts w:ascii="宋体" w:hAnsi="宋体" w:cs="宋体"/>
                <w:bCs/>
                <w:szCs w:val="21"/>
              </w:rPr>
            </w:pPr>
            <w:r>
              <w:rPr>
                <w:rFonts w:hint="eastAsia" w:ascii="宋体" w:hAnsi="宋体" w:cs="宋体"/>
                <w:bCs/>
                <w:szCs w:val="21"/>
              </w:rPr>
              <w:t>1.2当满足以下条件时，采购人才向中标人签发货物验收报告：</w:t>
            </w:r>
          </w:p>
          <w:p>
            <w:pPr>
              <w:tabs>
                <w:tab w:val="left" w:pos="1260"/>
              </w:tabs>
              <w:spacing w:line="340" w:lineRule="exact"/>
              <w:rPr>
                <w:rFonts w:ascii="宋体" w:hAnsi="宋体" w:cs="宋体"/>
                <w:bCs/>
                <w:szCs w:val="21"/>
              </w:rPr>
            </w:pPr>
            <w:r>
              <w:rPr>
                <w:rFonts w:hint="eastAsia" w:ascii="宋体" w:hAnsi="宋体" w:cs="宋体"/>
                <w:bCs/>
                <w:szCs w:val="21"/>
              </w:rPr>
              <w:t>a、中标人已按照合同规定提供了全部产品及完整的技术资料。</w:t>
            </w:r>
          </w:p>
          <w:p>
            <w:pPr>
              <w:tabs>
                <w:tab w:val="left" w:pos="1260"/>
              </w:tabs>
              <w:spacing w:line="340" w:lineRule="exact"/>
              <w:rPr>
                <w:rFonts w:ascii="宋体" w:hAnsi="宋体" w:cs="宋体"/>
                <w:bCs/>
                <w:szCs w:val="21"/>
              </w:rPr>
            </w:pPr>
            <w:r>
              <w:rPr>
                <w:rFonts w:hint="eastAsia" w:ascii="宋体" w:hAnsi="宋体" w:cs="宋体"/>
                <w:bCs/>
                <w:szCs w:val="21"/>
              </w:rPr>
              <w:t>b、货物符合招标文件技术规格书的要求，性能满足要求。</w:t>
            </w:r>
          </w:p>
          <w:p>
            <w:pPr>
              <w:tabs>
                <w:tab w:val="left" w:pos="1260"/>
              </w:tabs>
              <w:spacing w:line="340" w:lineRule="exact"/>
              <w:rPr>
                <w:rFonts w:ascii="宋体" w:hAnsi="宋体" w:cs="宋体"/>
                <w:bCs/>
                <w:szCs w:val="21"/>
              </w:rPr>
            </w:pPr>
            <w:r>
              <w:rPr>
                <w:rFonts w:hint="eastAsia" w:ascii="宋体" w:hAnsi="宋体" w:cs="宋体"/>
                <w:bCs/>
                <w:szCs w:val="21"/>
              </w:rPr>
              <w:t>c、货物具备产品合格证。</w:t>
            </w:r>
          </w:p>
        </w:tc>
      </w:tr>
    </w:tbl>
    <w:p>
      <w:pPr>
        <w:rPr>
          <w:rFonts w:ascii="宋体" w:hAnsi="宋体" w:cs="宋体"/>
          <w:b/>
        </w:rPr>
      </w:pPr>
      <w:r>
        <w:rPr>
          <w:rFonts w:hint="eastAsia" w:ascii="宋体" w:hAnsi="宋体" w:cs="宋体"/>
          <w:b/>
        </w:rPr>
        <w:t>备注：</w:t>
      </w:r>
    </w:p>
    <w:p>
      <w:pPr>
        <w:rPr>
          <w:rFonts w:ascii="宋体" w:hAnsi="宋体" w:cs="宋体"/>
          <w:b/>
        </w:rPr>
      </w:pPr>
      <w:r>
        <w:rPr>
          <w:rFonts w:hint="eastAsia" w:ascii="宋体" w:hAnsi="宋体" w:cs="宋体"/>
          <w:b/>
        </w:rPr>
        <w:t>1. “（一）免费保修期内售后服务要求”部分，</w:t>
      </w:r>
      <w:r>
        <w:rPr>
          <w:rFonts w:hint="eastAsia" w:ascii="宋体" w:hAnsi="宋体" w:cs="宋体"/>
        </w:rPr>
        <w:t>请详细列明免费保修期内的售后服务要求，内容包括但不限于免费保修期限、售后服务人员配备、技术培训方案、质量保证、违约承诺、维修响应及故障解决时间、方案等。</w:t>
      </w:r>
      <w:r>
        <w:rPr>
          <w:rFonts w:hint="eastAsia" w:ascii="宋体" w:hAnsi="宋体" w:cs="宋体"/>
          <w:b/>
        </w:rPr>
        <w:t xml:space="preserve"> </w:t>
      </w:r>
    </w:p>
    <w:p>
      <w:pPr>
        <w:rPr>
          <w:rFonts w:ascii="宋体" w:hAnsi="宋体" w:cs="宋体"/>
          <w:b/>
        </w:rPr>
      </w:pPr>
      <w:r>
        <w:rPr>
          <w:rFonts w:hint="eastAsia" w:ascii="宋体" w:hAnsi="宋体" w:cs="宋体"/>
          <w:b/>
        </w:rPr>
        <w:t>2. “（二）免费保修期外售后服务要求”部分，</w:t>
      </w:r>
      <w:r>
        <w:rPr>
          <w:rFonts w:hint="eastAsia" w:ascii="宋体" w:hAnsi="宋体" w:cs="宋体"/>
        </w:rPr>
        <w:t>请详细列明免费保修期外的售后服务要求，内容包括但不限于零配件的优惠率、维修响应及故障解决时间、方案、提供的服务等。</w:t>
      </w:r>
    </w:p>
    <w:p>
      <w:pPr>
        <w:rPr>
          <w:rFonts w:ascii="宋体" w:hAnsi="宋体" w:cs="宋体"/>
        </w:rPr>
      </w:pPr>
      <w:r>
        <w:rPr>
          <w:rFonts w:hint="eastAsia" w:ascii="宋体" w:hAnsi="宋体" w:cs="宋体"/>
          <w:b/>
        </w:rPr>
        <w:t>3. “（三）其他商务要求”部分，</w:t>
      </w:r>
      <w:r>
        <w:rPr>
          <w:rFonts w:hint="eastAsia" w:ascii="宋体" w:hAnsi="宋体" w:cs="宋体"/>
        </w:rPr>
        <w:t>如有补充，请详细列明。</w:t>
      </w:r>
    </w:p>
    <w:p>
      <w:pPr>
        <w:rPr>
          <w:rFonts w:ascii="宋体" w:hAnsi="宋体" w:cs="宋体"/>
        </w:rPr>
      </w:pPr>
    </w:p>
    <w:p>
      <w:pPr>
        <w:rPr>
          <w:rFonts w:ascii="宋体" w:hAnsi="宋体" w:cs="宋体"/>
          <w:b/>
          <w:sz w:val="24"/>
        </w:rPr>
      </w:pPr>
    </w:p>
    <w:p>
      <w:pPr>
        <w:pStyle w:val="2"/>
      </w:pPr>
      <w:bookmarkStart w:id="28" w:name="bt附件"/>
      <w:bookmarkEnd w:id="28"/>
      <w:bookmarkStart w:id="29" w:name="bt投标书"/>
      <w:bookmarkEnd w:id="29"/>
      <w:r>
        <w:rPr>
          <w:rFonts w:hint="eastAsia"/>
        </w:rPr>
        <w:t>第三章  投标文件格式</w:t>
      </w:r>
    </w:p>
    <w:p>
      <w:pPr>
        <w:rPr>
          <w:rStyle w:val="53"/>
          <w:rFonts w:ascii="宋体" w:hAnsi="宋体" w:eastAsia="宋体" w:cs="宋体"/>
          <w:sz w:val="28"/>
          <w:szCs w:val="28"/>
        </w:rPr>
      </w:pPr>
      <w:r>
        <w:rPr>
          <w:rStyle w:val="53"/>
          <w:rFonts w:hint="eastAsia" w:ascii="宋体" w:hAnsi="宋体" w:eastAsia="宋体" w:cs="宋体"/>
          <w:sz w:val="28"/>
          <w:szCs w:val="28"/>
        </w:rPr>
        <w:t>投标文件组成：</w:t>
      </w:r>
    </w:p>
    <w:p>
      <w:pPr>
        <w:rPr>
          <w:rFonts w:ascii="宋体" w:hAnsi="宋体" w:cs="宋体"/>
          <w:sz w:val="24"/>
        </w:rPr>
      </w:pPr>
    </w:p>
    <w:p>
      <w:pPr>
        <w:rPr>
          <w:rFonts w:ascii="宋体" w:hAnsi="宋体" w:cs="宋体"/>
          <w:sz w:val="24"/>
        </w:rPr>
      </w:pPr>
      <w:r>
        <w:rPr>
          <w:rFonts w:hint="eastAsia" w:ascii="宋体" w:hAnsi="宋体" w:cs="宋体"/>
          <w:sz w:val="24"/>
        </w:rPr>
        <w:t>目录</w:t>
      </w:r>
    </w:p>
    <w:p>
      <w:pPr>
        <w:rPr>
          <w:rFonts w:ascii="宋体" w:hAnsi="宋体" w:cs="宋体"/>
          <w:sz w:val="24"/>
        </w:rPr>
      </w:pPr>
    </w:p>
    <w:p>
      <w:pPr>
        <w:rPr>
          <w:rFonts w:ascii="宋体" w:hAnsi="宋体" w:cs="宋体"/>
          <w:sz w:val="24"/>
        </w:rPr>
      </w:pPr>
      <w:r>
        <w:rPr>
          <w:rFonts w:hint="eastAsia" w:ascii="宋体" w:hAnsi="宋体" w:cs="宋体"/>
          <w:szCs w:val="21"/>
        </w:rPr>
        <w:t>投标一览表</w:t>
      </w:r>
    </w:p>
    <w:p>
      <w:pPr>
        <w:rPr>
          <w:rFonts w:ascii="宋体" w:hAnsi="宋体" w:cs="宋体"/>
          <w:sz w:val="24"/>
        </w:rPr>
      </w:pPr>
      <w:r>
        <w:rPr>
          <w:rFonts w:hint="eastAsia" w:ascii="宋体" w:hAnsi="宋体" w:cs="宋体"/>
          <w:sz w:val="24"/>
        </w:rPr>
        <w:t>1、评标指引表</w:t>
      </w:r>
    </w:p>
    <w:p>
      <w:pPr>
        <w:rPr>
          <w:rFonts w:ascii="宋体" w:hAnsi="宋体" w:cs="宋体"/>
          <w:sz w:val="24"/>
        </w:rPr>
      </w:pPr>
      <w:r>
        <w:rPr>
          <w:rFonts w:hint="eastAsia" w:ascii="宋体" w:hAnsi="宋体" w:cs="宋体"/>
          <w:szCs w:val="21"/>
        </w:rPr>
        <w:t>2、法定代表人证明书</w:t>
      </w:r>
    </w:p>
    <w:p>
      <w:pPr>
        <w:rPr>
          <w:rFonts w:ascii="宋体" w:hAnsi="宋体" w:cs="宋体"/>
          <w:sz w:val="24"/>
        </w:rPr>
      </w:pPr>
      <w:r>
        <w:rPr>
          <w:rFonts w:hint="eastAsia" w:ascii="宋体" w:hAnsi="宋体" w:cs="宋体"/>
          <w:sz w:val="24"/>
        </w:rPr>
        <w:t>3、</w:t>
      </w:r>
      <w:r>
        <w:rPr>
          <w:rFonts w:hint="eastAsia" w:ascii="宋体" w:hAnsi="宋体" w:cs="宋体"/>
          <w:szCs w:val="21"/>
        </w:rPr>
        <w:t>投标文件签署授权委托书</w:t>
      </w:r>
    </w:p>
    <w:p>
      <w:pPr>
        <w:rPr>
          <w:rFonts w:ascii="宋体" w:hAnsi="宋体" w:cs="宋体"/>
          <w:sz w:val="24"/>
        </w:rPr>
      </w:pPr>
      <w:r>
        <w:rPr>
          <w:rFonts w:hint="eastAsia" w:ascii="宋体" w:hAnsi="宋体" w:cs="宋体"/>
          <w:sz w:val="24"/>
        </w:rPr>
        <w:t>4、</w:t>
      </w:r>
      <w:r>
        <w:rPr>
          <w:rFonts w:hint="eastAsia" w:ascii="宋体" w:hAnsi="宋体" w:cs="宋体"/>
          <w:szCs w:val="21"/>
        </w:rPr>
        <w:t>投标承诺函</w:t>
      </w:r>
    </w:p>
    <w:p>
      <w:pPr>
        <w:rPr>
          <w:rFonts w:ascii="宋体" w:hAnsi="宋体" w:cs="宋体"/>
          <w:sz w:val="24"/>
        </w:rPr>
      </w:pPr>
      <w:r>
        <w:rPr>
          <w:rFonts w:hint="eastAsia" w:ascii="宋体" w:hAnsi="宋体" w:cs="宋体"/>
          <w:sz w:val="24"/>
        </w:rPr>
        <w:t>5、</w:t>
      </w:r>
      <w:r>
        <w:rPr>
          <w:rFonts w:hint="eastAsia" w:ascii="宋体" w:hAnsi="宋体" w:cs="宋体"/>
          <w:szCs w:val="21"/>
        </w:rPr>
        <w:t>投标人情况介绍</w:t>
      </w:r>
    </w:p>
    <w:p>
      <w:pPr>
        <w:rPr>
          <w:rFonts w:ascii="宋体" w:hAnsi="宋体" w:cs="宋体"/>
          <w:szCs w:val="21"/>
        </w:rPr>
      </w:pPr>
      <w:r>
        <w:rPr>
          <w:rFonts w:hint="eastAsia" w:ascii="宋体" w:hAnsi="宋体" w:cs="宋体"/>
          <w:sz w:val="24"/>
        </w:rPr>
        <w:t>6、</w:t>
      </w:r>
      <w:r>
        <w:rPr>
          <w:rFonts w:hint="eastAsia" w:ascii="宋体" w:hAnsi="宋体" w:cs="宋体"/>
          <w:szCs w:val="21"/>
        </w:rPr>
        <w:t>分项报价清单表</w:t>
      </w:r>
    </w:p>
    <w:p>
      <w:pPr>
        <w:rPr>
          <w:rFonts w:ascii="宋体" w:hAnsi="宋体" w:cs="宋体"/>
          <w:szCs w:val="21"/>
        </w:rPr>
      </w:pPr>
      <w:r>
        <w:rPr>
          <w:rFonts w:hint="eastAsia" w:ascii="宋体" w:hAnsi="宋体" w:cs="宋体"/>
          <w:szCs w:val="21"/>
        </w:rPr>
        <w:t>7、货物说明一览表</w:t>
      </w:r>
    </w:p>
    <w:p>
      <w:pPr>
        <w:rPr>
          <w:rFonts w:ascii="宋体" w:hAnsi="宋体" w:cs="宋体"/>
          <w:sz w:val="24"/>
        </w:rPr>
      </w:pPr>
      <w:r>
        <w:rPr>
          <w:rFonts w:hint="eastAsia" w:ascii="宋体" w:hAnsi="宋体" w:cs="宋体"/>
          <w:szCs w:val="21"/>
        </w:rPr>
        <w:t>8、技术规格偏离表</w:t>
      </w:r>
    </w:p>
    <w:p>
      <w:pPr>
        <w:rPr>
          <w:rFonts w:ascii="宋体" w:hAnsi="宋体" w:cs="宋体"/>
          <w:szCs w:val="21"/>
        </w:rPr>
      </w:pPr>
      <w:r>
        <w:rPr>
          <w:rFonts w:hint="eastAsia" w:ascii="宋体" w:hAnsi="宋体" w:cs="宋体"/>
          <w:sz w:val="24"/>
        </w:rPr>
        <w:t>9、</w:t>
      </w:r>
      <w:r>
        <w:rPr>
          <w:rFonts w:hint="eastAsia" w:ascii="宋体" w:hAnsi="宋体" w:cs="宋体"/>
          <w:szCs w:val="21"/>
        </w:rPr>
        <w:t>商务需求偏离表</w:t>
      </w:r>
    </w:p>
    <w:p>
      <w:pPr>
        <w:rPr>
          <w:rFonts w:ascii="宋体" w:hAnsi="宋体" w:cs="宋体"/>
          <w:szCs w:val="21"/>
        </w:rPr>
      </w:pPr>
      <w:r>
        <w:rPr>
          <w:rFonts w:hint="eastAsia" w:ascii="宋体" w:hAnsi="宋体" w:cs="宋体"/>
          <w:szCs w:val="21"/>
        </w:rPr>
        <w:t>10、项目实施方案</w:t>
      </w:r>
    </w:p>
    <w:p>
      <w:pPr>
        <w:rPr>
          <w:rFonts w:ascii="宋体" w:hAnsi="宋体" w:cs="宋体"/>
          <w:sz w:val="24"/>
        </w:rPr>
      </w:pPr>
      <w:r>
        <w:rPr>
          <w:rFonts w:hint="eastAsia" w:ascii="宋体" w:hAnsi="宋体" w:cs="宋体"/>
          <w:sz w:val="24"/>
        </w:rPr>
        <w:t>11、</w:t>
      </w:r>
      <w:r>
        <w:rPr>
          <w:rFonts w:hint="eastAsia" w:ascii="宋体" w:hAnsi="宋体" w:cs="宋体"/>
          <w:szCs w:val="21"/>
        </w:rPr>
        <w:t>售后服务方案</w:t>
      </w:r>
    </w:p>
    <w:p>
      <w:pPr>
        <w:rPr>
          <w:rFonts w:ascii="宋体" w:hAnsi="宋体" w:cs="宋体"/>
          <w:sz w:val="24"/>
        </w:rPr>
      </w:pPr>
    </w:p>
    <w:p>
      <w:pPr>
        <w:outlineLvl w:val="1"/>
        <w:rPr>
          <w:rFonts w:ascii="宋体" w:hAnsi="宋体" w:cs="宋体"/>
          <w:b/>
          <w:sz w:val="28"/>
          <w:szCs w:val="28"/>
        </w:rPr>
      </w:pPr>
      <w:r>
        <w:rPr>
          <w:rFonts w:hint="eastAsia" w:ascii="宋体" w:hAnsi="宋体" w:cs="宋体"/>
          <w:b/>
          <w:sz w:val="28"/>
          <w:szCs w:val="28"/>
        </w:rPr>
        <w:t>投标文件格式：</w:t>
      </w:r>
    </w:p>
    <w:p>
      <w:pPr>
        <w:keepNext/>
        <w:keepLines/>
        <w:spacing w:before="120" w:after="120" w:line="416" w:lineRule="auto"/>
        <w:jc w:val="center"/>
        <w:outlineLvl w:val="2"/>
        <w:rPr>
          <w:rFonts w:ascii="宋体" w:hAnsi="宋体" w:cs="宋体"/>
          <w:bCs/>
          <w:color w:val="000000"/>
          <w:sz w:val="44"/>
          <w:szCs w:val="32"/>
        </w:rPr>
      </w:pPr>
      <w:r>
        <w:rPr>
          <w:rFonts w:hint="eastAsia" w:ascii="宋体" w:hAnsi="宋体" w:cs="宋体"/>
          <w:b/>
          <w:bCs/>
          <w:color w:val="000000"/>
          <w:sz w:val="32"/>
          <w:szCs w:val="32"/>
        </w:rPr>
        <w:t>开标一览表</w:t>
      </w:r>
    </w:p>
    <w:p>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 xml:space="preserve">                  单位： 人民币 元</w:t>
      </w:r>
    </w:p>
    <w:tbl>
      <w:tblPr>
        <w:tblStyle w:val="3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366"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1577"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851"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投标报价</w:t>
            </w:r>
          </w:p>
        </w:tc>
        <w:tc>
          <w:tcPr>
            <w:tcW w:w="2969"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工期</w:t>
            </w:r>
          </w:p>
        </w:tc>
        <w:tc>
          <w:tcPr>
            <w:tcW w:w="1870"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1366" w:type="dxa"/>
            <w:tcBorders>
              <w:top w:val="single" w:color="auto" w:sz="4" w:space="0"/>
            </w:tcBorders>
            <w:vAlign w:val="center"/>
          </w:tcPr>
          <w:p>
            <w:pPr>
              <w:adjustRightInd w:val="0"/>
              <w:snapToGrid w:val="0"/>
              <w:rPr>
                <w:rFonts w:ascii="宋体" w:hAnsi="宋体" w:cs="宋体"/>
                <w:snapToGrid w:val="0"/>
                <w:color w:val="000000"/>
                <w:kern w:val="0"/>
                <w:szCs w:val="22"/>
              </w:rPr>
            </w:pPr>
          </w:p>
        </w:tc>
        <w:tc>
          <w:tcPr>
            <w:tcW w:w="1577" w:type="dxa"/>
            <w:tcBorders>
              <w:top w:val="single" w:color="auto" w:sz="4" w:space="0"/>
            </w:tcBorders>
            <w:vAlign w:val="center"/>
          </w:tcPr>
          <w:p>
            <w:pPr>
              <w:rPr>
                <w:rFonts w:ascii="宋体" w:hAnsi="宋体" w:cs="宋体"/>
                <w:snapToGrid w:val="0"/>
                <w:color w:val="000000"/>
                <w:kern w:val="0"/>
                <w:szCs w:val="22"/>
                <w:u w:val="single"/>
              </w:rPr>
            </w:pPr>
          </w:p>
        </w:tc>
        <w:tc>
          <w:tcPr>
            <w:tcW w:w="1851" w:type="dxa"/>
            <w:tcBorders>
              <w:top w:val="single" w:color="auto" w:sz="4" w:space="0"/>
            </w:tcBorders>
            <w:vAlign w:val="center"/>
          </w:tcPr>
          <w:p>
            <w:pPr>
              <w:rPr>
                <w:rFonts w:ascii="宋体" w:hAnsi="宋体" w:cs="宋体"/>
                <w:szCs w:val="21"/>
              </w:rPr>
            </w:pPr>
            <w:r>
              <w:rPr>
                <w:rFonts w:hint="eastAsia" w:ascii="宋体" w:hAnsi="宋体" w:cs="宋体"/>
                <w:szCs w:val="21"/>
              </w:rPr>
              <w:t>大写：</w:t>
            </w:r>
          </w:p>
          <w:p>
            <w:pPr>
              <w:rPr>
                <w:rFonts w:ascii="宋体" w:hAnsi="宋体" w:cs="宋体"/>
                <w:color w:val="FF0000"/>
                <w:szCs w:val="21"/>
              </w:rPr>
            </w:pPr>
            <w:r>
              <w:rPr>
                <w:rFonts w:hint="eastAsia" w:ascii="宋体" w:hAnsi="宋体" w:cs="宋体"/>
                <w:szCs w:val="21"/>
              </w:rPr>
              <w:t>小写：</w:t>
            </w:r>
          </w:p>
        </w:tc>
        <w:tc>
          <w:tcPr>
            <w:tcW w:w="2969" w:type="dxa"/>
            <w:tcBorders>
              <w:top w:val="single" w:color="auto" w:sz="4" w:space="0"/>
            </w:tcBorders>
            <w:vAlign w:val="center"/>
          </w:tcPr>
          <w:p>
            <w:pPr>
              <w:ind w:firstLine="1124" w:firstLineChars="400"/>
              <w:rPr>
                <w:rFonts w:ascii="宋体" w:hAnsi="宋体" w:cs="宋体"/>
                <w:color w:val="000000"/>
                <w:kern w:val="0"/>
                <w:szCs w:val="21"/>
                <w:lang w:val="zh-CN"/>
              </w:rPr>
            </w:pPr>
            <w:r>
              <w:rPr>
                <w:rFonts w:hint="eastAsia" w:ascii="宋体" w:hAnsi="宋体" w:cs="宋体"/>
                <w:b/>
                <w:bCs/>
                <w:kern w:val="0"/>
                <w:sz w:val="28"/>
                <w:szCs w:val="28"/>
                <w:u w:val="single"/>
              </w:rPr>
              <w:t xml:space="preserve">  </w:t>
            </w:r>
            <w:r>
              <w:rPr>
                <w:rFonts w:hint="eastAsia" w:ascii="宋体" w:hAnsi="宋体" w:cs="宋体"/>
                <w:snapToGrid w:val="0"/>
                <w:color w:val="000000"/>
                <w:kern w:val="0"/>
                <w:szCs w:val="22"/>
              </w:rPr>
              <w:t>日历日</w:t>
            </w:r>
          </w:p>
        </w:tc>
        <w:tc>
          <w:tcPr>
            <w:tcW w:w="1870" w:type="dxa"/>
            <w:tcBorders>
              <w:top w:val="single" w:color="auto" w:sz="4" w:space="0"/>
            </w:tcBorders>
            <w:vAlign w:val="center"/>
          </w:tcPr>
          <w:p>
            <w:pPr>
              <w:rPr>
                <w:rFonts w:ascii="宋体" w:hAnsi="宋体" w:cs="宋体"/>
                <w:snapToGrid w:val="0"/>
                <w:color w:val="000000"/>
                <w:kern w:val="0"/>
                <w:szCs w:val="22"/>
              </w:rPr>
            </w:pPr>
          </w:p>
        </w:tc>
      </w:tr>
    </w:tbl>
    <w:p>
      <w:pPr>
        <w:rPr>
          <w:rFonts w:ascii="宋体" w:hAnsi="宋体" w:cs="宋体"/>
          <w:snapToGrid w:val="0"/>
          <w:color w:val="000000"/>
          <w:kern w:val="0"/>
          <w:szCs w:val="22"/>
        </w:rPr>
      </w:pPr>
    </w:p>
    <w:p>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pPr>
        <w:ind w:firstLine="420"/>
        <w:rPr>
          <w:rFonts w:ascii="宋体" w:hAnsi="宋体" w:cs="宋体"/>
          <w:b/>
          <w:szCs w:val="22"/>
        </w:rPr>
      </w:pPr>
      <w:r>
        <w:rPr>
          <w:rFonts w:hint="eastAsia" w:ascii="宋体" w:hAnsi="宋体" w:cs="宋体"/>
          <w:b/>
          <w:szCs w:val="22"/>
        </w:rPr>
        <w:t>3、开标一览表和投标文件（含正本和副本）应分开独立密封包装。开标一览表未按规定密封、签字、盖章将导致废标。</w:t>
      </w:r>
    </w:p>
    <w:p>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pPr>
        <w:snapToGrid w:val="0"/>
        <w:ind w:firstLine="411" w:firstLineChars="196"/>
        <w:rPr>
          <w:rFonts w:ascii="宋体" w:hAnsi="宋体" w:cs="宋体"/>
          <w:szCs w:val="21"/>
        </w:rPr>
      </w:pPr>
    </w:p>
    <w:p>
      <w:pPr>
        <w:ind w:firstLine="420"/>
        <w:rPr>
          <w:rFonts w:ascii="宋体" w:hAnsi="宋体" w:cs="宋体"/>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法定代表人或被授权人签名：</w:t>
      </w:r>
    </w:p>
    <w:p>
      <w:pPr>
        <w:ind w:right="2100" w:rightChars="1000"/>
        <w:jc w:val="right"/>
        <w:rPr>
          <w:rFonts w:ascii="宋体" w:hAnsi="宋体" w:cs="宋体"/>
          <w:snapToGrid w:val="0"/>
          <w:kern w:val="0"/>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 xml:space="preserve">                         投标单位公章：</w:t>
      </w:r>
    </w:p>
    <w:p>
      <w:pPr>
        <w:pStyle w:val="3"/>
        <w:numPr>
          <w:ilvl w:val="0"/>
          <w:numId w:val="4"/>
        </w:numPr>
        <w:jc w:val="center"/>
        <w:rPr>
          <w:rFonts w:cs="宋体"/>
          <w:b w:val="0"/>
          <w:kern w:val="0"/>
          <w:szCs w:val="28"/>
        </w:rPr>
      </w:pPr>
      <w:r>
        <w:rPr>
          <w:rFonts w:hint="eastAsia" w:cs="宋体"/>
          <w:b w:val="0"/>
          <w:kern w:val="0"/>
          <w:szCs w:val="28"/>
        </w:rPr>
        <w:t>评标指引表</w:t>
      </w:r>
    </w:p>
    <w:tbl>
      <w:tblPr>
        <w:tblStyle w:val="39"/>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color w:val="000000"/>
                <w:szCs w:val="22"/>
              </w:rPr>
            </w:pPr>
            <w:r>
              <w:rPr>
                <w:rFonts w:hint="eastAsia"/>
                <w:color w:val="000000"/>
                <w:szCs w:val="22"/>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3786" w:type="dxa"/>
            <w:gridSpan w:val="2"/>
            <w:vAlign w:val="center"/>
          </w:tcPr>
          <w:p>
            <w:pPr>
              <w:jc w:val="center"/>
              <w:rPr>
                <w:b/>
                <w:color w:val="000000"/>
                <w:szCs w:val="22"/>
              </w:rPr>
            </w:pPr>
            <w:r>
              <w:rPr>
                <w:rFonts w:hint="eastAsia"/>
                <w:b/>
                <w:color w:val="000000"/>
                <w:szCs w:val="22"/>
              </w:rPr>
              <w:t>资格性检查项目</w:t>
            </w:r>
          </w:p>
        </w:tc>
        <w:tc>
          <w:tcPr>
            <w:tcW w:w="3490" w:type="dxa"/>
            <w:gridSpan w:val="2"/>
            <w:vAlign w:val="center"/>
          </w:tcPr>
          <w:p>
            <w:pPr>
              <w:jc w:val="center"/>
              <w:rPr>
                <w:b/>
                <w:color w:val="000000"/>
                <w:szCs w:val="22"/>
              </w:rPr>
            </w:pPr>
            <w:r>
              <w:rPr>
                <w:rFonts w:hint="eastAsia"/>
                <w:b/>
                <w:color w:val="000000"/>
                <w:szCs w:val="22"/>
              </w:rPr>
              <w:t>证明文件</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pPr>
              <w:jc w:val="center"/>
              <w:rPr>
                <w:b/>
                <w:color w:val="000000"/>
                <w:szCs w:val="22"/>
              </w:rPr>
            </w:pPr>
            <w:r>
              <w:rPr>
                <w:rFonts w:hint="eastAsia"/>
                <w:b/>
                <w:color w:val="000000"/>
                <w:szCs w:val="22"/>
              </w:rPr>
              <w:t>1</w:t>
            </w:r>
          </w:p>
        </w:tc>
        <w:tc>
          <w:tcPr>
            <w:tcW w:w="3786" w:type="dxa"/>
            <w:gridSpan w:val="2"/>
            <w:vMerge w:val="restart"/>
            <w:vAlign w:val="center"/>
          </w:tcPr>
          <w:p>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pPr>
              <w:jc w:val="center"/>
              <w:rPr>
                <w:color w:val="000000"/>
                <w:szCs w:val="22"/>
              </w:rPr>
            </w:pPr>
            <w:r>
              <w:rPr>
                <w:rFonts w:hint="eastAsia"/>
                <w:color w:val="000000"/>
                <w:szCs w:val="22"/>
              </w:rPr>
              <w:t>营业执照</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r>
              <w:rPr>
                <w:rFonts w:hint="eastAsia"/>
                <w:color w:val="000000"/>
                <w:szCs w:val="22"/>
              </w:rPr>
              <w:t>...</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color w:val="000000"/>
                <w:szCs w:val="22"/>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5854" w:type="dxa"/>
            <w:gridSpan w:val="3"/>
            <w:vAlign w:val="center"/>
          </w:tcPr>
          <w:p>
            <w:pPr>
              <w:jc w:val="center"/>
              <w:rPr>
                <w:b/>
                <w:color w:val="000000"/>
                <w:szCs w:val="22"/>
              </w:rPr>
            </w:pPr>
            <w:r>
              <w:rPr>
                <w:rFonts w:hint="eastAsia"/>
                <w:b/>
                <w:color w:val="000000"/>
                <w:szCs w:val="22"/>
              </w:rPr>
              <w:t>符合性审查项目</w:t>
            </w:r>
          </w:p>
        </w:tc>
        <w:tc>
          <w:tcPr>
            <w:tcW w:w="1566" w:type="dxa"/>
            <w:gridSpan w:val="2"/>
            <w:vAlign w:val="center"/>
          </w:tcPr>
          <w:p>
            <w:pPr>
              <w:jc w:val="center"/>
              <w:rPr>
                <w:b/>
                <w:color w:val="000000"/>
                <w:szCs w:val="22"/>
              </w:rPr>
            </w:pPr>
            <w:r>
              <w:rPr>
                <w:rFonts w:hint="eastAsia"/>
                <w:b/>
                <w:color w:val="000000"/>
                <w:szCs w:val="22"/>
              </w:rPr>
              <w:t>说明</w:t>
            </w:r>
          </w:p>
          <w:p>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pPr>
              <w:widowControl/>
              <w:jc w:val="left"/>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2</w:t>
            </w:r>
          </w:p>
        </w:tc>
        <w:tc>
          <w:tcPr>
            <w:tcW w:w="5854" w:type="dxa"/>
            <w:gridSpan w:val="3"/>
          </w:tcPr>
          <w:p>
            <w:r>
              <w:rPr>
                <w:rFonts w:hint="eastAsia"/>
              </w:rPr>
              <w:t>未按招标文件对投标文件组成的要求提供投标文件的（投标文件组成不完整）或未按规定密封、签字、盖章；</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3</w:t>
            </w:r>
          </w:p>
        </w:tc>
        <w:tc>
          <w:tcPr>
            <w:tcW w:w="5854" w:type="dxa"/>
            <w:gridSpan w:val="3"/>
          </w:tcPr>
          <w:p>
            <w:r>
              <w:rPr>
                <w:rFonts w:hint="eastAsia"/>
              </w:rPr>
              <w:t>《技术规格偏离表》或《商务需求偏离表》填写不全或不实</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4</w:t>
            </w:r>
          </w:p>
        </w:tc>
        <w:tc>
          <w:tcPr>
            <w:tcW w:w="5854" w:type="dxa"/>
            <w:gridSpan w:val="3"/>
          </w:tcPr>
          <w:p>
            <w:r>
              <w:rPr>
                <w:rFonts w:hint="eastAsia"/>
              </w:rPr>
              <w:t>投标总价高于预算限额的或报价低于其成本且不能做出合理说明</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5</w:t>
            </w:r>
          </w:p>
        </w:tc>
        <w:tc>
          <w:tcPr>
            <w:tcW w:w="5854" w:type="dxa"/>
            <w:gridSpan w:val="3"/>
          </w:tcPr>
          <w:p>
            <w:r>
              <w:rPr>
                <w:rFonts w:hint="eastAsia"/>
              </w:rPr>
              <w:t>投标报价有严重缺漏项目</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6</w:t>
            </w:r>
          </w:p>
        </w:tc>
        <w:tc>
          <w:tcPr>
            <w:tcW w:w="5854" w:type="dxa"/>
            <w:gridSpan w:val="3"/>
          </w:tcPr>
          <w:p>
            <w:r>
              <w:rPr>
                <w:rFonts w:hint="eastAsia"/>
              </w:rPr>
              <w:t>投标文件载明的交货期超过招标文件规定的期限或免费保修期低于招标文件规定的期限</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7</w:t>
            </w:r>
          </w:p>
        </w:tc>
        <w:tc>
          <w:tcPr>
            <w:tcW w:w="5854" w:type="dxa"/>
            <w:gridSpan w:val="3"/>
          </w:tcPr>
          <w:p>
            <w:r>
              <w:rPr>
                <w:rFonts w:hint="eastAsia"/>
              </w:rPr>
              <w:t>所投产品、工程、服务在质量、技术、方案等方面没有实质性满足招标文件要求</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b/>
                <w:color w:val="000000"/>
                <w:szCs w:val="22"/>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pPr>
              <w:jc w:val="center"/>
              <w:rPr>
                <w:b/>
                <w:color w:val="000000"/>
                <w:szCs w:val="22"/>
              </w:rPr>
            </w:pPr>
            <w:r>
              <w:rPr>
                <w:rFonts w:hint="eastAsia"/>
                <w:b/>
                <w:color w:val="000000"/>
                <w:szCs w:val="22"/>
              </w:rPr>
              <w:t>评分类别</w:t>
            </w:r>
          </w:p>
        </w:tc>
        <w:tc>
          <w:tcPr>
            <w:tcW w:w="5510" w:type="dxa"/>
            <w:gridSpan w:val="2"/>
            <w:vAlign w:val="center"/>
          </w:tcPr>
          <w:p>
            <w:pPr>
              <w:jc w:val="center"/>
              <w:rPr>
                <w:b/>
                <w:color w:val="000000"/>
                <w:szCs w:val="22"/>
              </w:rPr>
            </w:pPr>
            <w:r>
              <w:rPr>
                <w:rFonts w:hint="eastAsia"/>
                <w:b/>
                <w:color w:val="000000"/>
                <w:szCs w:val="22"/>
              </w:rPr>
              <w:t>评分项目</w:t>
            </w:r>
          </w:p>
        </w:tc>
        <w:tc>
          <w:tcPr>
            <w:tcW w:w="1422" w:type="dxa"/>
            <w:vAlign w:val="center"/>
          </w:tcPr>
          <w:p>
            <w:pPr>
              <w:jc w:val="center"/>
              <w:rPr>
                <w:b/>
                <w:color w:val="000000"/>
                <w:szCs w:val="22"/>
              </w:rPr>
            </w:pPr>
            <w:r>
              <w:rPr>
                <w:rFonts w:hint="eastAsia"/>
                <w:b/>
                <w:color w:val="000000"/>
                <w:szCs w:val="22"/>
              </w:rPr>
              <w:t>对应章节</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pPr>
              <w:jc w:val="center"/>
              <w:rPr>
                <w:b/>
                <w:color w:val="000000"/>
                <w:szCs w:val="22"/>
              </w:rPr>
            </w:pPr>
            <w:r>
              <w:rPr>
                <w:rFonts w:hint="eastAsia"/>
                <w:b/>
                <w:color w:val="000000"/>
                <w:szCs w:val="22"/>
              </w:rPr>
              <w:t>技术部分</w:t>
            </w: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商务部分</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综合实力</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bl>
    <w:p/>
    <w:p>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pPr>
        <w:jc w:val="center"/>
        <w:rPr>
          <w:rFonts w:ascii="宋体" w:hAnsi="宋体" w:cs="宋体"/>
          <w:b/>
          <w:color w:val="000000"/>
          <w:sz w:val="28"/>
          <w:szCs w:val="28"/>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pStyle w:val="3"/>
        <w:jc w:val="center"/>
        <w:rPr>
          <w:rFonts w:cs="宋体"/>
          <w:b w:val="0"/>
          <w:kern w:val="0"/>
          <w:szCs w:val="28"/>
        </w:rPr>
      </w:pPr>
      <w:r>
        <w:rPr>
          <w:rFonts w:hint="eastAsia" w:cs="宋体"/>
          <w:b w:val="0"/>
          <w:kern w:val="0"/>
          <w:szCs w:val="28"/>
        </w:rPr>
        <w:t>二、法定代表人证明书</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360" w:lineRule="auto"/>
        <w:rPr>
          <w:rFonts w:ascii="宋体" w:hAnsi="宋体" w:cs="宋体"/>
          <w:szCs w:val="21"/>
        </w:rPr>
      </w:pPr>
      <w:r>
        <w:rPr>
          <w:rFonts w:hint="eastAsia" w:ascii="宋体" w:hAnsi="宋体" w:cs="宋体"/>
          <w:szCs w:val="21"/>
        </w:rPr>
        <w:t xml:space="preserve">有效日期：         签发日期：         单位：              </w:t>
      </w:r>
    </w:p>
    <w:p>
      <w:pPr>
        <w:spacing w:line="360" w:lineRule="auto"/>
        <w:rPr>
          <w:rFonts w:ascii="宋体" w:hAnsi="宋体" w:cs="宋体"/>
          <w:szCs w:val="21"/>
        </w:rPr>
      </w:pPr>
      <w:r>
        <w:rPr>
          <w:rFonts w:hint="eastAsia" w:ascii="宋体" w:hAnsi="宋体" w:cs="宋体"/>
          <w:szCs w:val="21"/>
        </w:rPr>
        <w:t>附：代表人性别：   年龄：      身份证号码：</w:t>
      </w:r>
    </w:p>
    <w:p>
      <w:pPr>
        <w:spacing w:line="360" w:lineRule="auto"/>
        <w:rPr>
          <w:rFonts w:ascii="宋体" w:hAnsi="宋体" w:cs="宋体"/>
          <w:szCs w:val="21"/>
        </w:rPr>
      </w:pPr>
      <w:r>
        <w:rPr>
          <w:rFonts w:hint="eastAsia" w:ascii="宋体" w:hAnsi="宋体" w:cs="宋体"/>
          <w:szCs w:val="21"/>
        </w:rPr>
        <w:t>营业执照号码：                 经济性质：</w:t>
      </w:r>
    </w:p>
    <w:p>
      <w:pPr>
        <w:spacing w:line="360" w:lineRule="auto"/>
        <w:rPr>
          <w:rFonts w:ascii="宋体" w:hAnsi="宋体" w:cs="宋体"/>
          <w:szCs w:val="21"/>
        </w:rPr>
      </w:pPr>
      <w:r>
        <w:rPr>
          <w:rFonts w:hint="eastAsia" w:ascii="宋体" w:hAnsi="宋体" w:cs="宋体"/>
          <w:szCs w:val="21"/>
        </w:rPr>
        <w:t>主营（产）：</w:t>
      </w:r>
    </w:p>
    <w:p>
      <w:pPr>
        <w:spacing w:line="360" w:lineRule="auto"/>
        <w:rPr>
          <w:rFonts w:ascii="宋体" w:hAnsi="宋体" w:cs="宋体"/>
          <w:szCs w:val="21"/>
        </w:rPr>
      </w:pPr>
      <w:r>
        <w:rPr>
          <w:rFonts w:hint="eastAsia" w:ascii="宋体" w:hAnsi="宋体" w:cs="宋体"/>
          <w:szCs w:val="21"/>
        </w:rPr>
        <w:t>兼营（产）：</w:t>
      </w:r>
    </w:p>
    <w:p>
      <w:pPr>
        <w:spacing w:line="360" w:lineRule="auto"/>
        <w:rPr>
          <w:rFonts w:ascii="宋体" w:hAnsi="宋体" w:cs="宋体"/>
          <w:szCs w:val="21"/>
        </w:rPr>
      </w:pPr>
      <w:r>
        <w:rPr>
          <w:rFonts w:hint="eastAsia" w:ascii="宋体" w:hAnsi="宋体" w:cs="宋体"/>
          <w:szCs w:val="21"/>
        </w:rPr>
        <w:t>进口物品经营许可证号码：</w:t>
      </w:r>
    </w:p>
    <w:p>
      <w:pPr>
        <w:spacing w:line="360" w:lineRule="auto"/>
        <w:rPr>
          <w:rFonts w:ascii="宋体" w:hAnsi="宋体" w:cs="宋体"/>
          <w:szCs w:val="21"/>
        </w:rPr>
      </w:pPr>
      <w:r>
        <w:rPr>
          <w:rFonts w:hint="eastAsia" w:ascii="宋体" w:hAnsi="宋体" w:cs="宋体"/>
          <w:szCs w:val="21"/>
        </w:rPr>
        <w:t>主营：</w:t>
      </w:r>
    </w:p>
    <w:p>
      <w:pPr>
        <w:spacing w:line="360" w:lineRule="auto"/>
        <w:rPr>
          <w:rFonts w:ascii="宋体" w:hAnsi="宋体" w:cs="宋体"/>
          <w:szCs w:val="21"/>
        </w:rPr>
      </w:pPr>
      <w:r>
        <w:rPr>
          <w:rFonts w:hint="eastAsia" w:ascii="宋体" w:hAnsi="宋体" w:cs="宋体"/>
          <w:szCs w:val="21"/>
        </w:rPr>
        <w:t>兼营：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pPr>
        <w:rPr>
          <w:rFonts w:ascii="宋体" w:hAnsi="宋体" w:cs="宋体"/>
          <w:szCs w:val="21"/>
        </w:rPr>
      </w:pPr>
      <w:r>
        <w:rPr>
          <w:rFonts w:hint="eastAsia" w:ascii="宋体" w:hAnsi="宋体" w:cs="宋体"/>
          <w:szCs w:val="21"/>
        </w:rPr>
        <w:t xml:space="preserve">      2、内容必须填写真实、清楚，涂改无效，不得转让、买卖。</w:t>
      </w:r>
    </w:p>
    <w:p>
      <w:pPr>
        <w:ind w:firstLine="630" w:firstLineChars="300"/>
        <w:rPr>
          <w:rFonts w:ascii="宋体" w:hAnsi="宋体" w:cs="宋体"/>
          <w:szCs w:val="21"/>
        </w:rPr>
      </w:pPr>
      <w:r>
        <w:rPr>
          <w:rFonts w:hint="eastAsia" w:ascii="宋体" w:hAnsi="宋体" w:cs="宋体"/>
          <w:szCs w:val="21"/>
        </w:rPr>
        <w:t>3. 本证明书要求投标人提供加盖公章后的原件方为有效。</w:t>
      </w:r>
    </w:p>
    <w:p>
      <w:pPr>
        <w:ind w:firstLine="630" w:firstLineChars="300"/>
        <w:rPr>
          <w:rFonts w:ascii="宋体" w:hAnsi="宋体" w:cs="宋体"/>
          <w:szCs w:val="21"/>
        </w:rPr>
      </w:pPr>
      <w:r>
        <w:rPr>
          <w:rFonts w:hint="eastAsia" w:ascii="宋体" w:hAnsi="宋体" w:cs="宋体"/>
          <w:szCs w:val="21"/>
        </w:rPr>
        <w:t>4. 须提供法定代表人的身份证复印件（附后）。</w:t>
      </w:r>
    </w:p>
    <w:p>
      <w:pPr>
        <w:rPr>
          <w:rFonts w:ascii="宋体" w:hAnsi="宋体" w:cs="宋体"/>
          <w:sz w:val="24"/>
        </w:rPr>
      </w:pPr>
    </w:p>
    <w:p>
      <w:pPr>
        <w:rPr>
          <w:rFonts w:ascii="宋体" w:hAnsi="宋体" w:cs="宋体"/>
          <w:sz w:val="24"/>
        </w:rPr>
      </w:pPr>
    </w:p>
    <w:p>
      <w:pPr>
        <w:rPr>
          <w:rFonts w:ascii="宋体" w:hAnsi="宋体" w:cs="宋体"/>
          <w:sz w:val="24"/>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pPr>
        <w:spacing w:line="360" w:lineRule="auto"/>
        <w:ind w:firstLine="420"/>
        <w:rPr>
          <w:rFonts w:ascii="宋体" w:hAnsi="宋体" w:cs="宋体"/>
          <w:szCs w:val="21"/>
        </w:rPr>
      </w:pPr>
      <w:r>
        <w:rPr>
          <w:rFonts w:hint="eastAsia" w:ascii="宋体" w:hAnsi="宋体" w:cs="宋体"/>
          <w:szCs w:val="21"/>
        </w:rPr>
        <w:t>代理人无转委托权，特此委托。</w:t>
      </w:r>
    </w:p>
    <w:p>
      <w:pPr>
        <w:spacing w:line="360" w:lineRule="auto"/>
        <w:ind w:firstLine="420"/>
        <w:rPr>
          <w:rFonts w:ascii="宋体" w:hAnsi="宋体" w:cs="宋体"/>
          <w:szCs w:val="21"/>
        </w:rPr>
      </w:pPr>
    </w:p>
    <w:p>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pPr>
        <w:spacing w:line="360" w:lineRule="auto"/>
        <w:ind w:firstLine="630" w:firstLineChars="300"/>
        <w:rPr>
          <w:rFonts w:ascii="宋体" w:hAnsi="宋体" w:cs="宋体"/>
          <w:szCs w:val="21"/>
        </w:rPr>
      </w:pPr>
      <w:r>
        <w:rPr>
          <w:rFonts w:hint="eastAsia" w:ascii="宋体" w:hAnsi="宋体" w:cs="宋体"/>
          <w:szCs w:val="21"/>
        </w:rPr>
        <w:t>2.提供代理人的身份证复印件及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四、投标承诺函</w:t>
      </w:r>
    </w:p>
    <w:p>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pPr>
        <w:spacing w:after="120" w:afterLines="50"/>
        <w:ind w:firstLine="411" w:firstLineChars="196"/>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pPr>
        <w:pStyle w:val="17"/>
        <w:ind w:firstLine="420" w:firstLineChars="200"/>
        <w:rPr>
          <w:rFonts w:ascii="宋体" w:hAnsi="宋体" w:cs="宋体"/>
          <w:b w:val="0"/>
          <w:sz w:val="21"/>
          <w:szCs w:val="21"/>
        </w:rPr>
      </w:pPr>
    </w:p>
    <w:p>
      <w:pPr>
        <w:pStyle w:val="17"/>
        <w:ind w:firstLine="420" w:firstLineChars="200"/>
        <w:rPr>
          <w:rFonts w:ascii="宋体" w:hAnsi="宋体" w:cs="宋体"/>
          <w:b w:val="0"/>
          <w:sz w:val="21"/>
          <w:szCs w:val="21"/>
        </w:rPr>
      </w:pPr>
    </w:p>
    <w:p>
      <w:pPr>
        <w:pStyle w:val="17"/>
        <w:ind w:firstLine="420" w:firstLineChars="200"/>
        <w:rPr>
          <w:rFonts w:ascii="宋体" w:hAnsi="宋体" w:cs="宋体"/>
          <w:b w:val="0"/>
          <w:sz w:val="21"/>
          <w:szCs w:val="21"/>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五、投标人情况介绍</w:t>
      </w:r>
    </w:p>
    <w:p>
      <w:pPr>
        <w:rPr>
          <w:rFonts w:ascii="宋体" w:hAnsi="宋体" w:cs="宋体"/>
          <w:b/>
          <w:bCs/>
          <w:sz w:val="24"/>
        </w:rPr>
      </w:pPr>
    </w:p>
    <w:p>
      <w:pPr>
        <w:rPr>
          <w:rFonts w:ascii="宋体" w:hAnsi="宋体" w:cs="宋体"/>
          <w:b/>
          <w:bCs/>
          <w:sz w:val="24"/>
        </w:rPr>
      </w:pPr>
    </w:p>
    <w:p>
      <w:pPr>
        <w:outlineLvl w:val="3"/>
        <w:rPr>
          <w:rFonts w:ascii="宋体" w:hAnsi="宋体" w:cs="宋体"/>
          <w:b/>
          <w:bCs/>
          <w:sz w:val="24"/>
        </w:rPr>
      </w:pPr>
      <w:r>
        <w:rPr>
          <w:rFonts w:hint="eastAsia" w:ascii="宋体" w:hAnsi="宋体" w:cs="宋体"/>
          <w:b/>
          <w:bCs/>
          <w:sz w:val="24"/>
        </w:rPr>
        <w:t>（一）</w:t>
      </w:r>
      <w:r>
        <w:rPr>
          <w:rFonts w:hint="eastAsia" w:ascii="宋体" w:hAnsi="宋体" w:cs="宋体"/>
          <w:b/>
          <w:sz w:val="24"/>
        </w:rPr>
        <w:t>供应商资格证明文件</w:t>
      </w:r>
    </w:p>
    <w:p>
      <w:pPr>
        <w:spacing w:before="120" w:beforeLines="50"/>
        <w:rPr>
          <w:rFonts w:ascii="宋体" w:hAnsi="宋体" w:cs="宋体"/>
          <w:b/>
          <w:bCs/>
        </w:rPr>
      </w:pPr>
      <w:r>
        <w:rPr>
          <w:rFonts w:hint="eastAsia" w:ascii="宋体" w:hAnsi="宋体" w:cs="宋体"/>
          <w:b/>
          <w:bCs/>
        </w:rPr>
        <w:t>（特别提示：投标人须按本招标文件第一章招标公告第5条“投标人资质要求”提供相关的资质证明，未提供或提供不完整、不符合要求的，投标文件将按废标处理。）</w:t>
      </w:r>
    </w:p>
    <w:p>
      <w:pPr>
        <w:rPr>
          <w:rFonts w:ascii="宋体" w:hAnsi="宋体" w:cs="宋体"/>
          <w:b/>
          <w:bCs/>
          <w:sz w:val="24"/>
        </w:rPr>
      </w:pPr>
    </w:p>
    <w:p>
      <w:pPr>
        <w:rPr>
          <w:rFonts w:ascii="宋体" w:hAnsi="宋体" w:cs="宋体"/>
          <w:b/>
          <w:bCs/>
          <w:sz w:val="24"/>
        </w:rPr>
      </w:pPr>
    </w:p>
    <w:p>
      <w:pPr>
        <w:outlineLvl w:val="3"/>
        <w:rPr>
          <w:rFonts w:ascii="宋体" w:hAnsi="宋体" w:cs="宋体"/>
          <w:b/>
          <w:bCs/>
          <w:sz w:val="24"/>
        </w:rPr>
      </w:pPr>
      <w:r>
        <w:rPr>
          <w:rFonts w:hint="eastAsia" w:ascii="宋体" w:hAnsi="宋体" w:cs="宋体"/>
          <w:b/>
          <w:bCs/>
          <w:sz w:val="24"/>
        </w:rPr>
        <w:t>（二）近三年同类业绩</w:t>
      </w:r>
    </w:p>
    <w:tbl>
      <w:tblPr>
        <w:tblStyle w:val="39"/>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820"/>
        <w:gridCol w:w="1548"/>
        <w:gridCol w:w="1464"/>
        <w:gridCol w:w="1263"/>
        <w:gridCol w:w="14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r>
              <w:rPr>
                <w:rFonts w:hint="eastAsia" w:ascii="宋体" w:hAnsi="宋体" w:cs="宋体"/>
                <w:szCs w:val="21"/>
              </w:rPr>
              <w:t>采购人</w:t>
            </w:r>
          </w:p>
        </w:tc>
        <w:tc>
          <w:tcPr>
            <w:tcW w:w="1820" w:type="dxa"/>
            <w:vAlign w:val="center"/>
          </w:tcPr>
          <w:p>
            <w:pPr>
              <w:rPr>
                <w:rFonts w:ascii="宋体" w:hAnsi="宋体" w:cs="宋体"/>
                <w:szCs w:val="21"/>
              </w:rPr>
            </w:pPr>
            <w:r>
              <w:rPr>
                <w:rFonts w:hint="eastAsia" w:ascii="宋体" w:hAnsi="宋体" w:cs="宋体"/>
                <w:szCs w:val="21"/>
              </w:rPr>
              <w:t>项目名称</w:t>
            </w:r>
          </w:p>
        </w:tc>
        <w:tc>
          <w:tcPr>
            <w:tcW w:w="1548" w:type="dxa"/>
            <w:vAlign w:val="center"/>
          </w:tcPr>
          <w:p>
            <w:pPr>
              <w:rPr>
                <w:rFonts w:ascii="宋体" w:hAnsi="宋体" w:cs="宋体"/>
                <w:szCs w:val="21"/>
              </w:rPr>
            </w:pPr>
            <w:r>
              <w:rPr>
                <w:rFonts w:hint="eastAsia" w:ascii="宋体" w:hAnsi="宋体" w:cs="宋体"/>
                <w:szCs w:val="21"/>
              </w:rPr>
              <w:t>项目规模（金额）</w:t>
            </w:r>
          </w:p>
        </w:tc>
        <w:tc>
          <w:tcPr>
            <w:tcW w:w="1464" w:type="dxa"/>
            <w:vAlign w:val="center"/>
          </w:tcPr>
          <w:p>
            <w:pPr>
              <w:rPr>
                <w:rFonts w:ascii="宋体" w:hAnsi="宋体" w:cs="宋体"/>
                <w:szCs w:val="21"/>
              </w:rPr>
            </w:pPr>
            <w:r>
              <w:rPr>
                <w:rFonts w:hint="eastAsia" w:ascii="宋体" w:hAnsi="宋体" w:cs="宋体"/>
                <w:szCs w:val="21"/>
              </w:rPr>
              <w:t>合同签订日期</w:t>
            </w:r>
          </w:p>
        </w:tc>
        <w:tc>
          <w:tcPr>
            <w:tcW w:w="1263" w:type="dxa"/>
            <w:vAlign w:val="center"/>
          </w:tcPr>
          <w:p>
            <w:pPr>
              <w:rPr>
                <w:rFonts w:ascii="宋体" w:hAnsi="宋体" w:cs="宋体"/>
                <w:szCs w:val="21"/>
              </w:rPr>
            </w:pPr>
            <w:r>
              <w:rPr>
                <w:rFonts w:hint="eastAsia" w:ascii="宋体" w:hAnsi="宋体" w:cs="宋体"/>
                <w:szCs w:val="21"/>
              </w:rPr>
              <w:t>履约验收时间</w:t>
            </w:r>
          </w:p>
        </w:tc>
        <w:tc>
          <w:tcPr>
            <w:tcW w:w="1418" w:type="dxa"/>
            <w:vAlign w:val="center"/>
          </w:tcPr>
          <w:p>
            <w:pPr>
              <w:rPr>
                <w:rFonts w:ascii="宋体" w:hAnsi="宋体" w:cs="宋体"/>
                <w:szCs w:val="21"/>
              </w:rPr>
            </w:pPr>
            <w:r>
              <w:rPr>
                <w:rFonts w:hint="eastAsia" w:ascii="宋体" w:hAnsi="宋体" w:cs="宋体"/>
                <w:szCs w:val="21"/>
              </w:rPr>
              <w:t>完成质量情况（以履约验收报告为准）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bl>
    <w:p>
      <w:pPr>
        <w:rPr>
          <w:rFonts w:ascii="宋体" w:hAnsi="宋体" w:cs="宋体"/>
          <w:bCs/>
          <w:szCs w:val="21"/>
        </w:rPr>
      </w:pPr>
      <w:r>
        <w:rPr>
          <w:rFonts w:hint="eastAsia" w:ascii="宋体" w:hAnsi="宋体" w:cs="宋体"/>
          <w:bCs/>
          <w:szCs w:val="21"/>
        </w:rPr>
        <w:t>提供合同及履约验收报告</w:t>
      </w:r>
    </w:p>
    <w:p>
      <w:pPr>
        <w:rPr>
          <w:rFonts w:ascii="宋体" w:hAnsi="宋体" w:cs="宋体"/>
          <w:b/>
          <w:bCs/>
          <w:sz w:val="24"/>
        </w:rPr>
      </w:pPr>
    </w:p>
    <w:p/>
    <w:p>
      <w:pPr>
        <w:outlineLvl w:val="3"/>
        <w:rPr>
          <w:rFonts w:ascii="宋体" w:hAnsi="宋体" w:cs="宋体"/>
          <w:b/>
          <w:sz w:val="24"/>
        </w:rPr>
      </w:pPr>
      <w:r>
        <w:rPr>
          <w:rFonts w:hint="eastAsia" w:ascii="宋体" w:hAnsi="宋体" w:cs="宋体"/>
          <w:b/>
          <w:sz w:val="24"/>
        </w:rPr>
        <w:t>（三）投标人认为需提供的其他证明文件</w:t>
      </w:r>
    </w:p>
    <w:p>
      <w:pPr>
        <w:rPr>
          <w:rFonts w:ascii="宋体" w:hAnsi="宋体" w:cs="宋体"/>
          <w:bCs/>
          <w:szCs w:val="21"/>
        </w:rPr>
      </w:pPr>
      <w:r>
        <w:rPr>
          <w:rFonts w:hint="eastAsia" w:ascii="宋体" w:hAnsi="宋体" w:cs="宋体"/>
          <w:bCs/>
          <w:szCs w:val="21"/>
        </w:rPr>
        <w:t>提供招标公告和评标信息中关于投标人的其他相关证明文件（如评标信息中涉及的各种证件（身份证除外）、设备发票等，未涉及的可以不提供）</w:t>
      </w:r>
    </w:p>
    <w:p>
      <w:pPr>
        <w:pStyle w:val="17"/>
        <w:ind w:firstLine="420" w:firstLineChars="200"/>
        <w:rPr>
          <w:rFonts w:ascii="宋体" w:hAnsi="宋体" w:cs="宋体"/>
          <w:b w:val="0"/>
          <w:sz w:val="21"/>
          <w:szCs w:val="21"/>
        </w:rPr>
      </w:pPr>
    </w:p>
    <w:p>
      <w:pPr>
        <w:pStyle w:val="3"/>
        <w:jc w:val="center"/>
        <w:rPr>
          <w:rFonts w:cs="宋体"/>
          <w:b w:val="0"/>
          <w:szCs w:val="28"/>
        </w:rPr>
      </w:pPr>
      <w:r>
        <w:rPr>
          <w:rFonts w:hint="eastAsia" w:cs="宋体"/>
          <w:b w:val="0"/>
          <w:szCs w:val="28"/>
        </w:rPr>
        <w:t>六、分项报价清单</w:t>
      </w:r>
    </w:p>
    <w:p>
      <w:pPr>
        <w:numPr>
          <w:ilvl w:val="0"/>
          <w:numId w:val="5"/>
        </w:numPr>
        <w:jc w:val="center"/>
        <w:rPr>
          <w:rFonts w:ascii="宋体" w:hAnsi="宋体" w:cs="宋体"/>
          <w:b/>
          <w:sz w:val="24"/>
        </w:rPr>
      </w:pPr>
      <w:r>
        <w:rPr>
          <w:rFonts w:hint="eastAsia" w:ascii="宋体" w:hAnsi="宋体" w:cs="宋体"/>
          <w:b/>
          <w:sz w:val="24"/>
        </w:rPr>
        <w:t>项目报价表</w:t>
      </w:r>
    </w:p>
    <w:p>
      <w:pPr>
        <w:rPr>
          <w:rFonts w:ascii="宋体" w:hAnsi="宋体" w:cs="宋体"/>
          <w:b/>
          <w:sz w:val="24"/>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52"/>
        <w:gridCol w:w="1080"/>
        <w:gridCol w:w="1440"/>
        <w:gridCol w:w="900"/>
        <w:gridCol w:w="720"/>
        <w:gridCol w:w="720"/>
        <w:gridCol w:w="900"/>
        <w:gridCol w:w="900"/>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jc w:val="center"/>
              <w:rPr>
                <w:rFonts w:ascii="宋体" w:hAnsi="宋体" w:cs="宋体"/>
                <w:szCs w:val="21"/>
              </w:rPr>
            </w:pPr>
            <w:r>
              <w:rPr>
                <w:rFonts w:hint="eastAsia" w:ascii="宋体" w:hAnsi="宋体" w:cs="宋体"/>
                <w:szCs w:val="21"/>
              </w:rPr>
              <w:t>序号</w:t>
            </w:r>
          </w:p>
        </w:tc>
        <w:tc>
          <w:tcPr>
            <w:tcW w:w="1852" w:type="dxa"/>
            <w:vAlign w:val="center"/>
          </w:tcPr>
          <w:p>
            <w:pPr>
              <w:jc w:val="center"/>
              <w:rPr>
                <w:rFonts w:ascii="宋体" w:hAnsi="宋体" w:cs="宋体"/>
                <w:szCs w:val="21"/>
              </w:rPr>
            </w:pPr>
            <w:r>
              <w:rPr>
                <w:rFonts w:hint="eastAsia" w:ascii="宋体" w:hAnsi="宋体" w:cs="宋体"/>
                <w:szCs w:val="21"/>
              </w:rPr>
              <w:t>采购计划编号</w:t>
            </w:r>
          </w:p>
        </w:tc>
        <w:tc>
          <w:tcPr>
            <w:tcW w:w="1080" w:type="dxa"/>
            <w:vAlign w:val="center"/>
          </w:tcPr>
          <w:p>
            <w:pPr>
              <w:jc w:val="center"/>
              <w:rPr>
                <w:rFonts w:ascii="宋体" w:hAnsi="宋体" w:cs="宋体"/>
                <w:szCs w:val="21"/>
              </w:rPr>
            </w:pPr>
            <w:r>
              <w:rPr>
                <w:rFonts w:hint="eastAsia" w:ascii="宋体" w:hAnsi="宋体" w:cs="宋体"/>
                <w:szCs w:val="21"/>
              </w:rPr>
              <w:t>货物名称</w:t>
            </w:r>
          </w:p>
        </w:tc>
        <w:tc>
          <w:tcPr>
            <w:tcW w:w="1440" w:type="dxa"/>
            <w:vAlign w:val="center"/>
          </w:tcPr>
          <w:p>
            <w:pPr>
              <w:jc w:val="center"/>
              <w:rPr>
                <w:rFonts w:ascii="宋体" w:hAnsi="宋体" w:cs="宋体"/>
                <w:szCs w:val="21"/>
              </w:rPr>
            </w:pPr>
            <w:r>
              <w:rPr>
                <w:rFonts w:hint="eastAsia" w:ascii="宋体" w:hAnsi="宋体" w:cs="宋体"/>
                <w:szCs w:val="21"/>
              </w:rPr>
              <w:t>规格及型号</w:t>
            </w:r>
          </w:p>
        </w:tc>
        <w:tc>
          <w:tcPr>
            <w:tcW w:w="900" w:type="dxa"/>
            <w:vAlign w:val="center"/>
          </w:tcPr>
          <w:p>
            <w:pPr>
              <w:jc w:val="center"/>
              <w:rPr>
                <w:rFonts w:ascii="宋体" w:hAnsi="宋体" w:cs="宋体"/>
                <w:b/>
                <w:szCs w:val="21"/>
              </w:rPr>
            </w:pPr>
            <w:r>
              <w:rPr>
                <w:rFonts w:hint="eastAsia" w:ascii="宋体" w:hAnsi="宋体" w:cs="宋体"/>
                <w:b/>
                <w:szCs w:val="21"/>
              </w:rPr>
              <w:t>原产地</w:t>
            </w:r>
          </w:p>
        </w:tc>
        <w:tc>
          <w:tcPr>
            <w:tcW w:w="720" w:type="dxa"/>
            <w:vAlign w:val="center"/>
          </w:tcPr>
          <w:p>
            <w:pPr>
              <w:jc w:val="center"/>
              <w:rPr>
                <w:rFonts w:ascii="宋体" w:hAnsi="宋体" w:cs="宋体"/>
                <w:szCs w:val="21"/>
              </w:rPr>
            </w:pPr>
            <w:r>
              <w:rPr>
                <w:rFonts w:hint="eastAsia" w:ascii="宋体" w:hAnsi="宋体" w:cs="宋体"/>
                <w:szCs w:val="21"/>
              </w:rPr>
              <w:t>品牌</w:t>
            </w:r>
          </w:p>
        </w:tc>
        <w:tc>
          <w:tcPr>
            <w:tcW w:w="720" w:type="dxa"/>
            <w:vAlign w:val="center"/>
          </w:tcPr>
          <w:p>
            <w:pPr>
              <w:jc w:val="center"/>
              <w:rPr>
                <w:rFonts w:ascii="宋体" w:hAnsi="宋体" w:cs="宋体"/>
                <w:szCs w:val="21"/>
              </w:rPr>
            </w:pPr>
            <w:r>
              <w:rPr>
                <w:rFonts w:hint="eastAsia" w:ascii="宋体" w:hAnsi="宋体" w:cs="宋体"/>
                <w:szCs w:val="21"/>
              </w:rPr>
              <w:t>数量</w:t>
            </w:r>
          </w:p>
        </w:tc>
        <w:tc>
          <w:tcPr>
            <w:tcW w:w="900" w:type="dxa"/>
            <w:vAlign w:val="center"/>
          </w:tcPr>
          <w:p>
            <w:pPr>
              <w:jc w:val="center"/>
              <w:rPr>
                <w:rFonts w:ascii="宋体" w:hAnsi="宋体" w:cs="宋体"/>
                <w:szCs w:val="21"/>
              </w:rPr>
            </w:pPr>
            <w:r>
              <w:rPr>
                <w:rFonts w:hint="eastAsia" w:ascii="宋体" w:hAnsi="宋体" w:cs="宋体"/>
                <w:szCs w:val="21"/>
              </w:rPr>
              <w:t>单价(元)</w:t>
            </w:r>
          </w:p>
        </w:tc>
        <w:tc>
          <w:tcPr>
            <w:tcW w:w="900" w:type="dxa"/>
            <w:vAlign w:val="center"/>
          </w:tcPr>
          <w:p>
            <w:pPr>
              <w:jc w:val="center"/>
              <w:rPr>
                <w:rFonts w:ascii="宋体" w:hAnsi="宋体" w:cs="宋体"/>
                <w:szCs w:val="21"/>
              </w:rPr>
            </w:pPr>
            <w:r>
              <w:rPr>
                <w:rFonts w:hint="eastAsia" w:ascii="宋体" w:hAnsi="宋体" w:cs="宋体"/>
                <w:szCs w:val="21"/>
              </w:rPr>
              <w:t>合价(元)</w:t>
            </w:r>
          </w:p>
        </w:tc>
        <w:tc>
          <w:tcPr>
            <w:tcW w:w="956" w:type="dxa"/>
            <w:vAlign w:val="center"/>
          </w:tcPr>
          <w:p>
            <w:pPr>
              <w:jc w:val="center"/>
              <w:rPr>
                <w:rFonts w:ascii="宋体" w:hAnsi="宋体" w:cs="宋体"/>
                <w:szCs w:val="21"/>
              </w:rPr>
            </w:pPr>
            <w:r>
              <w:rPr>
                <w:rFonts w:hint="eastAsia" w:ascii="宋体" w:hAnsi="宋体" w:cs="宋体"/>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2" w:type="dxa"/>
            <w:gridSpan w:val="8"/>
          </w:tcPr>
          <w:p>
            <w:pPr>
              <w:rPr>
                <w:rFonts w:ascii="宋体" w:hAnsi="宋体" w:cs="宋体"/>
                <w:szCs w:val="21"/>
              </w:rPr>
            </w:pPr>
            <w:r>
              <w:rPr>
                <w:rFonts w:hint="eastAsia" w:ascii="宋体" w:hAnsi="宋体" w:cs="宋体"/>
                <w:szCs w:val="21"/>
              </w:rPr>
              <w:t>合计（即：投标总价；币种：人民币；单位：元）：大写：</w:t>
            </w:r>
          </w:p>
        </w:tc>
        <w:tc>
          <w:tcPr>
            <w:tcW w:w="900" w:type="dxa"/>
          </w:tcPr>
          <w:p>
            <w:pPr>
              <w:rPr>
                <w:rFonts w:ascii="宋体" w:hAnsi="宋体" w:cs="宋体"/>
                <w:szCs w:val="21"/>
              </w:rPr>
            </w:pPr>
          </w:p>
        </w:tc>
        <w:tc>
          <w:tcPr>
            <w:tcW w:w="956" w:type="dxa"/>
          </w:tcPr>
          <w:p>
            <w:pPr>
              <w:rPr>
                <w:rFonts w:ascii="宋体" w:hAnsi="宋体" w:cs="宋体"/>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供应商名称：</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注：1.所有价格应按“招标文件”中规定的货币单位填写；</w:t>
      </w:r>
    </w:p>
    <w:p>
      <w:pPr>
        <w:rPr>
          <w:rFonts w:ascii="宋体" w:hAnsi="宋体" w:cs="宋体"/>
          <w:szCs w:val="21"/>
        </w:rPr>
      </w:pPr>
      <w:r>
        <w:rPr>
          <w:rFonts w:hint="eastAsia" w:ascii="宋体" w:hAnsi="宋体" w:cs="宋体"/>
          <w:szCs w:val="21"/>
        </w:rPr>
        <w:t xml:space="preserve">    2.投标总价应为以上各分项价格之和；</w:t>
      </w:r>
    </w:p>
    <w:p>
      <w:pPr>
        <w:ind w:firstLine="420" w:firstLineChars="200"/>
        <w:rPr>
          <w:rFonts w:ascii="宋体" w:hAnsi="宋体" w:cs="宋体"/>
          <w:szCs w:val="21"/>
        </w:rPr>
      </w:pPr>
      <w:r>
        <w:rPr>
          <w:rFonts w:hint="eastAsia" w:ascii="宋体" w:hAnsi="宋体" w:cs="宋体"/>
          <w:szCs w:val="21"/>
        </w:rPr>
        <w:t>3.本表格式不得修改；</w:t>
      </w:r>
    </w:p>
    <w:p>
      <w:pPr>
        <w:ind w:firstLine="420" w:firstLineChars="200"/>
        <w:rPr>
          <w:rFonts w:ascii="宋体" w:hAnsi="宋体" w:cs="宋体"/>
          <w:szCs w:val="21"/>
        </w:rPr>
      </w:pPr>
      <w:r>
        <w:rPr>
          <w:rFonts w:hint="eastAsia" w:ascii="宋体" w:hAnsi="宋体" w:cs="宋体"/>
          <w:szCs w:val="21"/>
        </w:rPr>
        <w:t>4.单价、合价和投标总价为包干价，即三者均应包含设备的价款、包装、运输、装卸、安装、调试、技术指导、培训、咨询、服务、保险、税费、检测、验收合格交付使用之前以及技术和售后服务等其他各项有关费用。</w:t>
      </w:r>
    </w:p>
    <w:p>
      <w:pPr>
        <w:ind w:firstLine="411" w:firstLineChars="196"/>
        <w:rPr>
          <w:rFonts w:ascii="宋体" w:hAnsi="宋体" w:cs="宋体"/>
          <w:szCs w:val="21"/>
        </w:rPr>
      </w:pPr>
      <w:r>
        <w:rPr>
          <w:rFonts w:hint="eastAsia" w:ascii="宋体" w:hAnsi="宋体" w:cs="宋体"/>
          <w:szCs w:val="21"/>
        </w:rPr>
        <w:t>5.投标总价和项目报价表中单个采购预算条目报价均不得超过对应的财政预算限额，否则将导致废标。</w:t>
      </w:r>
    </w:p>
    <w:p>
      <w:pPr>
        <w:ind w:firstLine="411" w:firstLineChars="196"/>
        <w:rPr>
          <w:rStyle w:val="45"/>
          <w:rFonts w:ascii="宋体" w:hAnsi="宋体" w:cs="宋体"/>
          <w:kern w:val="0"/>
        </w:rPr>
      </w:pPr>
      <w:r>
        <w:rPr>
          <w:rFonts w:hint="eastAsia" w:ascii="宋体" w:hAnsi="宋体" w:cs="宋体"/>
          <w:szCs w:val="21"/>
        </w:rPr>
        <w:t>6.开标一览表的投标总价必须与项目报价表的投标总价一致。</w:t>
      </w:r>
    </w:p>
    <w:p>
      <w:pPr>
        <w:ind w:firstLine="411" w:firstLineChars="196"/>
        <w:rPr>
          <w:rFonts w:ascii="宋体" w:hAnsi="宋体" w:cs="宋体"/>
          <w:szCs w:val="21"/>
        </w:rPr>
      </w:pPr>
      <w:r>
        <w:rPr>
          <w:rFonts w:hint="eastAsia" w:ascii="宋体" w:hAnsi="宋体" w:cs="宋体"/>
          <w:szCs w:val="21"/>
        </w:rPr>
        <w:t>7.“原产地”是指该产品的实际生产加工地，而非品牌总公司所在地。</w:t>
      </w:r>
    </w:p>
    <w:p>
      <w:pPr>
        <w:rPr>
          <w:rFonts w:ascii="宋体" w:hAnsi="宋体" w:cs="宋体"/>
          <w:b/>
          <w:bCs/>
          <w:sz w:val="24"/>
        </w:rPr>
      </w:pPr>
    </w:p>
    <w:p>
      <w:pPr>
        <w:pStyle w:val="3"/>
        <w:jc w:val="center"/>
        <w:rPr>
          <w:rFonts w:cs="宋体"/>
          <w:b w:val="0"/>
          <w:sz w:val="24"/>
          <w:szCs w:val="24"/>
        </w:rPr>
      </w:pPr>
      <w:r>
        <w:rPr>
          <w:rFonts w:hint="eastAsia" w:cs="宋体"/>
          <w:b w:val="0"/>
          <w:sz w:val="24"/>
          <w:szCs w:val="24"/>
        </w:rPr>
        <w:t>七、货物说明一览表</w:t>
      </w:r>
    </w:p>
    <w:p>
      <w:pPr>
        <w:rPr>
          <w:rFonts w:ascii="宋体" w:hAnsi="宋体" w:cs="宋体"/>
          <w:sz w:val="24"/>
        </w:rPr>
      </w:pPr>
    </w:p>
    <w:p>
      <w:pPr>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ascii="宋体" w:hAnsi="宋体" w:cs="宋体"/>
          <w:szCs w:val="21"/>
        </w:rPr>
      </w:pP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1260"/>
        <w:gridCol w:w="1980"/>
        <w:gridCol w:w="126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jc w:val="center"/>
              <w:rPr>
                <w:rFonts w:ascii="宋体" w:hAnsi="宋体" w:cs="宋体"/>
                <w:szCs w:val="21"/>
              </w:rPr>
            </w:pPr>
            <w:r>
              <w:rPr>
                <w:rFonts w:hint="eastAsia" w:ascii="宋体" w:hAnsi="宋体" w:cs="宋体"/>
                <w:szCs w:val="21"/>
              </w:rPr>
              <w:t>序号</w:t>
            </w:r>
          </w:p>
        </w:tc>
        <w:tc>
          <w:tcPr>
            <w:tcW w:w="1620" w:type="dxa"/>
          </w:tcPr>
          <w:p>
            <w:pPr>
              <w:jc w:val="center"/>
              <w:rPr>
                <w:rFonts w:ascii="宋体" w:hAnsi="宋体" w:cs="宋体"/>
                <w:szCs w:val="21"/>
              </w:rPr>
            </w:pPr>
            <w:r>
              <w:rPr>
                <w:rFonts w:hint="eastAsia" w:ascii="宋体" w:hAnsi="宋体" w:cs="宋体"/>
                <w:szCs w:val="21"/>
              </w:rPr>
              <w:t>货物名称</w:t>
            </w:r>
          </w:p>
        </w:tc>
        <w:tc>
          <w:tcPr>
            <w:tcW w:w="1260" w:type="dxa"/>
          </w:tcPr>
          <w:p>
            <w:pPr>
              <w:jc w:val="center"/>
              <w:rPr>
                <w:rFonts w:ascii="宋体" w:hAnsi="宋体" w:cs="宋体"/>
                <w:szCs w:val="21"/>
              </w:rPr>
            </w:pPr>
            <w:r>
              <w:rPr>
                <w:rFonts w:hint="eastAsia" w:ascii="宋体" w:hAnsi="宋体" w:cs="宋体"/>
                <w:szCs w:val="21"/>
              </w:rPr>
              <w:t>型号</w:t>
            </w:r>
          </w:p>
        </w:tc>
        <w:tc>
          <w:tcPr>
            <w:tcW w:w="1980" w:type="dxa"/>
          </w:tcPr>
          <w:p>
            <w:pPr>
              <w:jc w:val="center"/>
              <w:rPr>
                <w:rFonts w:ascii="宋体" w:hAnsi="宋体" w:cs="宋体"/>
                <w:szCs w:val="21"/>
              </w:rPr>
            </w:pPr>
            <w:r>
              <w:rPr>
                <w:rFonts w:hint="eastAsia" w:ascii="宋体" w:hAnsi="宋体" w:cs="宋体"/>
                <w:szCs w:val="21"/>
              </w:rPr>
              <w:t>技术参数</w:t>
            </w:r>
          </w:p>
        </w:tc>
        <w:tc>
          <w:tcPr>
            <w:tcW w:w="1260" w:type="dxa"/>
          </w:tcPr>
          <w:p>
            <w:pPr>
              <w:jc w:val="center"/>
              <w:rPr>
                <w:rFonts w:ascii="宋体" w:hAnsi="宋体" w:cs="宋体"/>
                <w:szCs w:val="21"/>
              </w:rPr>
            </w:pPr>
            <w:r>
              <w:rPr>
                <w:rFonts w:hint="eastAsia" w:ascii="宋体" w:hAnsi="宋体" w:cs="宋体"/>
                <w:szCs w:val="21"/>
              </w:rPr>
              <w:t>数量</w:t>
            </w:r>
          </w:p>
        </w:tc>
        <w:tc>
          <w:tcPr>
            <w:tcW w:w="1344" w:type="dxa"/>
          </w:tcPr>
          <w:p>
            <w:pPr>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注：提供</w:t>
      </w:r>
      <w:r>
        <w:rPr>
          <w:rFonts w:hint="eastAsia" w:ascii="宋体" w:hAnsi="宋体" w:cs="宋体"/>
          <w:b/>
          <w:bCs/>
          <w:szCs w:val="21"/>
        </w:rPr>
        <w:t>制造商出具的产品中文说明书、彩页、照片等</w:t>
      </w:r>
      <w:r>
        <w:rPr>
          <w:rFonts w:hint="eastAsia" w:ascii="宋体" w:hAnsi="宋体" w:cs="宋体"/>
          <w:szCs w:val="21"/>
        </w:rPr>
        <w:t>相关资料</w:t>
      </w:r>
    </w:p>
    <w:p>
      <w:pPr>
        <w:rPr>
          <w:rFonts w:ascii="宋体" w:hAnsi="宋体" w:cs="宋体"/>
          <w:sz w:val="24"/>
        </w:rPr>
      </w:pPr>
    </w:p>
    <w:p>
      <w:pPr>
        <w:pStyle w:val="3"/>
        <w:jc w:val="center"/>
        <w:rPr>
          <w:rFonts w:cs="宋体"/>
          <w:b w:val="0"/>
          <w:sz w:val="24"/>
          <w:szCs w:val="24"/>
        </w:rPr>
      </w:pPr>
      <w:r>
        <w:rPr>
          <w:rFonts w:hint="eastAsia" w:cs="宋体"/>
          <w:b w:val="0"/>
          <w:sz w:val="24"/>
          <w:szCs w:val="24"/>
        </w:rPr>
        <w:t>八、技术规格偏离表</w:t>
      </w:r>
    </w:p>
    <w:p>
      <w:pPr>
        <w:rPr>
          <w:rFonts w:ascii="宋体" w:hAnsi="宋体" w:cs="宋体"/>
          <w:sz w:val="24"/>
        </w:rPr>
      </w:pPr>
    </w:p>
    <w:p>
      <w:pPr>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ascii="宋体" w:hAnsi="宋体" w:cs="宋体"/>
          <w:szCs w:val="21"/>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356"/>
        <w:gridCol w:w="1356"/>
        <w:gridCol w:w="1484"/>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r>
              <w:rPr>
                <w:rFonts w:hint="eastAsia" w:ascii="宋体" w:hAnsi="宋体" w:cs="宋体"/>
                <w:szCs w:val="21"/>
              </w:rPr>
              <w:t>序号</w:t>
            </w:r>
          </w:p>
        </w:tc>
        <w:tc>
          <w:tcPr>
            <w:tcW w:w="1356" w:type="dxa"/>
          </w:tcPr>
          <w:p>
            <w:pPr>
              <w:rPr>
                <w:rFonts w:ascii="宋体" w:hAnsi="宋体" w:cs="宋体"/>
                <w:szCs w:val="21"/>
              </w:rPr>
            </w:pPr>
            <w:r>
              <w:rPr>
                <w:rFonts w:hint="eastAsia" w:ascii="宋体" w:hAnsi="宋体" w:cs="宋体"/>
                <w:szCs w:val="21"/>
              </w:rPr>
              <w:t>货物名称</w:t>
            </w:r>
          </w:p>
        </w:tc>
        <w:tc>
          <w:tcPr>
            <w:tcW w:w="1356" w:type="dxa"/>
          </w:tcPr>
          <w:p>
            <w:pPr>
              <w:rPr>
                <w:rFonts w:ascii="宋体" w:hAnsi="宋体" w:cs="宋体"/>
                <w:szCs w:val="21"/>
              </w:rPr>
            </w:pPr>
            <w:r>
              <w:rPr>
                <w:rFonts w:hint="eastAsia" w:ascii="宋体" w:hAnsi="宋体" w:cs="宋体"/>
                <w:szCs w:val="21"/>
              </w:rPr>
              <w:t>招标技术要求</w:t>
            </w:r>
          </w:p>
        </w:tc>
        <w:tc>
          <w:tcPr>
            <w:tcW w:w="1356" w:type="dxa"/>
          </w:tcPr>
          <w:p>
            <w:pPr>
              <w:rPr>
                <w:rFonts w:ascii="宋体" w:hAnsi="宋体" w:cs="宋体"/>
                <w:szCs w:val="21"/>
              </w:rPr>
            </w:pPr>
            <w:r>
              <w:rPr>
                <w:rFonts w:hint="eastAsia" w:ascii="宋体" w:hAnsi="宋体" w:cs="宋体"/>
                <w:szCs w:val="21"/>
              </w:rPr>
              <w:t>投标技术响应</w:t>
            </w:r>
          </w:p>
        </w:tc>
        <w:tc>
          <w:tcPr>
            <w:tcW w:w="1484" w:type="dxa"/>
          </w:tcPr>
          <w:p>
            <w:pPr>
              <w:rPr>
                <w:rFonts w:ascii="宋体" w:hAnsi="宋体" w:cs="宋体"/>
                <w:szCs w:val="21"/>
              </w:rPr>
            </w:pPr>
            <w:r>
              <w:rPr>
                <w:rFonts w:hint="eastAsia" w:ascii="宋体" w:hAnsi="宋体" w:cs="宋体"/>
                <w:szCs w:val="21"/>
              </w:rPr>
              <w:t>偏离情况</w:t>
            </w:r>
          </w:p>
        </w:tc>
        <w:tc>
          <w:tcPr>
            <w:tcW w:w="1530" w:type="dxa"/>
          </w:tcPr>
          <w:p>
            <w:pPr>
              <w:rPr>
                <w:rFonts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bl>
    <w:p>
      <w:pPr>
        <w:rPr>
          <w:rFonts w:ascii="宋体" w:hAnsi="宋体" w:cs="宋体"/>
          <w:szCs w:val="21"/>
        </w:rPr>
      </w:pPr>
      <w:r>
        <w:rPr>
          <w:rFonts w:hint="eastAsia" w:ascii="宋体" w:hAnsi="宋体" w:cs="宋体"/>
          <w:szCs w:val="21"/>
        </w:rPr>
        <w:t>备注：</w:t>
      </w:r>
    </w:p>
    <w:p>
      <w:pPr>
        <w:rPr>
          <w:rFonts w:ascii="宋体" w:hAnsi="宋体" w:cs="宋体"/>
          <w:szCs w:val="21"/>
        </w:rPr>
      </w:pPr>
      <w:r>
        <w:rPr>
          <w:rFonts w:hint="eastAsia" w:ascii="宋体" w:hAnsi="宋体" w:cs="宋体"/>
          <w:szCs w:val="21"/>
        </w:rPr>
        <w:t>1、“招标技术要求”一栏应</w:t>
      </w:r>
      <w:r>
        <w:rPr>
          <w:rFonts w:hint="eastAsia" w:ascii="宋体" w:hAnsi="宋体" w:cs="宋体"/>
          <w:b/>
          <w:szCs w:val="21"/>
        </w:rPr>
        <w:t>填写招标文件第二章</w:t>
      </w:r>
      <w:r>
        <w:rPr>
          <w:rFonts w:hint="eastAsia" w:ascii="宋体" w:hAnsi="宋体" w:cs="宋体"/>
          <w:szCs w:val="21"/>
        </w:rPr>
        <w:t>“三、具体技术要求”的内容；</w:t>
      </w:r>
    </w:p>
    <w:p>
      <w:pPr>
        <w:rPr>
          <w:rFonts w:ascii="宋体" w:hAnsi="宋体" w:cs="宋体"/>
          <w:szCs w:val="21"/>
        </w:rPr>
      </w:pPr>
      <w:r>
        <w:rPr>
          <w:rFonts w:hint="eastAsia" w:ascii="宋体" w:hAnsi="宋体" w:cs="宋体"/>
          <w:szCs w:val="21"/>
        </w:rPr>
        <w:t>2、“投标技术响应”一栏必须详细填写投标产品的具体参数，并应对照招标技术要求一一对应响应；</w:t>
      </w:r>
    </w:p>
    <w:p>
      <w:pPr>
        <w:rPr>
          <w:rFonts w:ascii="宋体" w:hAnsi="宋体" w:cs="宋体"/>
          <w:szCs w:val="21"/>
        </w:rPr>
      </w:pPr>
      <w:r>
        <w:rPr>
          <w:rFonts w:hint="eastAsia" w:ascii="宋体" w:hAnsi="宋体" w:cs="宋体"/>
          <w:szCs w:val="21"/>
        </w:rPr>
        <w:t>3、“偏离情况”一栏应如实填写“正偏离”、“负偏离”或“无偏离”。</w:t>
      </w:r>
    </w:p>
    <w:p>
      <w:pPr>
        <w:rPr>
          <w:rFonts w:ascii="宋体" w:hAnsi="宋体" w:cs="宋体"/>
          <w:szCs w:val="21"/>
        </w:rPr>
      </w:pPr>
      <w:r>
        <w:rPr>
          <w:rFonts w:hint="eastAsia" w:ascii="宋体" w:hAnsi="宋体" w:cs="宋体"/>
          <w:szCs w:val="21"/>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pPr>
        <w:rPr>
          <w:rFonts w:ascii="宋体" w:hAnsi="宋体" w:cs="宋体"/>
          <w:szCs w:val="21"/>
        </w:rPr>
      </w:pPr>
      <w:r>
        <w:rPr>
          <w:rFonts w:hint="eastAsia" w:ascii="宋体" w:hAnsi="宋体" w:cs="宋体"/>
          <w:szCs w:val="21"/>
        </w:rPr>
        <w:t>5、证明资料（均为原件扫描件）的提供要求：</w:t>
      </w:r>
    </w:p>
    <w:p>
      <w:pPr>
        <w:rPr>
          <w:rFonts w:ascii="宋体" w:hAnsi="宋体" w:cs="宋体"/>
          <w:szCs w:val="21"/>
        </w:rPr>
      </w:pPr>
      <w:r>
        <w:rPr>
          <w:rFonts w:hint="eastAsia" w:ascii="宋体" w:hAnsi="宋体" w:cs="宋体"/>
          <w:szCs w:val="21"/>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pPr>
        <w:rPr>
          <w:rFonts w:ascii="宋体" w:hAnsi="宋体" w:cs="宋体"/>
          <w:szCs w:val="21"/>
        </w:rPr>
      </w:pPr>
      <w:r>
        <w:rPr>
          <w:rFonts w:hint="eastAsia" w:ascii="宋体" w:hAnsi="宋体" w:cs="宋体"/>
          <w:szCs w:val="21"/>
        </w:rPr>
        <w:t>（2）我国政府机构出具的产品检验和核准证件应为证件正面、背面和附件标注的全部具体内容；产品检验和核准证件的尺寸和清晰度应该能够被阅读、识别和判断。未达到以上提供要求的，评标委员会有权认定为不合格响应，其相关分数予以扣减或作废标处理。</w:t>
      </w:r>
    </w:p>
    <w:p>
      <w:pPr>
        <w:rPr>
          <w:rFonts w:ascii="宋体" w:hAnsi="宋体" w:cs="宋体"/>
          <w:szCs w:val="21"/>
        </w:rPr>
      </w:pPr>
      <w:r>
        <w:rPr>
          <w:rFonts w:hint="eastAsia" w:ascii="宋体" w:hAnsi="宋体" w:cs="宋体"/>
          <w:szCs w:val="21"/>
        </w:rPr>
        <w:t>6、评标委员会有权对以谋取中标为目的的技术规格模糊响应（如有意照搬照抄招标文件的技术要求）或虚假响应予以认定，并视情况经集中采购机构报市政府采购监督管理部门予以处罚。</w:t>
      </w:r>
    </w:p>
    <w:p>
      <w:pPr>
        <w:rPr>
          <w:rFonts w:ascii="宋体" w:hAnsi="宋体" w:cs="宋体"/>
          <w:sz w:val="24"/>
        </w:rPr>
      </w:pPr>
    </w:p>
    <w:p>
      <w:pPr>
        <w:pStyle w:val="3"/>
        <w:jc w:val="center"/>
        <w:rPr>
          <w:rFonts w:cs="宋体"/>
          <w:b w:val="0"/>
        </w:rPr>
      </w:pPr>
      <w:r>
        <w:rPr>
          <w:rFonts w:hint="eastAsia" w:cs="宋体"/>
          <w:b w:val="0"/>
          <w:bCs w:val="0"/>
          <w:kern w:val="0"/>
          <w:sz w:val="24"/>
          <w:szCs w:val="20"/>
        </w:rPr>
        <w:t>九、商务需求偏离表</w:t>
      </w:r>
    </w:p>
    <w:p>
      <w:pPr>
        <w:rPr>
          <w:rFonts w:ascii="宋体" w:hAnsi="宋体" w:cs="宋体"/>
          <w:b/>
          <w:szCs w:val="21"/>
        </w:rPr>
      </w:pPr>
    </w:p>
    <w:p>
      <w:pPr>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ascii="宋体" w:hAnsi="宋体" w:cs="宋体"/>
          <w:szCs w:val="21"/>
        </w:rPr>
      </w:pPr>
    </w:p>
    <w:tbl>
      <w:tblPr>
        <w:tblStyle w:val="39"/>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序号</w:t>
            </w:r>
          </w:p>
        </w:tc>
        <w:tc>
          <w:tcPr>
            <w:tcW w:w="1080" w:type="dxa"/>
          </w:tcPr>
          <w:p>
            <w:pPr>
              <w:rPr>
                <w:rFonts w:ascii="宋体" w:hAnsi="宋体" w:cs="宋体"/>
                <w:szCs w:val="21"/>
              </w:rPr>
            </w:pPr>
            <w:r>
              <w:rPr>
                <w:rFonts w:hint="eastAsia" w:ascii="宋体" w:hAnsi="宋体" w:cs="宋体"/>
                <w:szCs w:val="21"/>
              </w:rPr>
              <w:t>目录</w:t>
            </w:r>
          </w:p>
        </w:tc>
        <w:tc>
          <w:tcPr>
            <w:tcW w:w="1980" w:type="dxa"/>
          </w:tcPr>
          <w:p>
            <w:pPr>
              <w:rPr>
                <w:rFonts w:ascii="宋体" w:hAnsi="宋体" w:cs="宋体"/>
                <w:szCs w:val="21"/>
              </w:rPr>
            </w:pPr>
            <w:r>
              <w:rPr>
                <w:rFonts w:hint="eastAsia" w:ascii="宋体" w:hAnsi="宋体" w:cs="宋体"/>
                <w:szCs w:val="21"/>
              </w:rPr>
              <w:t>招标商务条款</w:t>
            </w:r>
          </w:p>
        </w:tc>
        <w:tc>
          <w:tcPr>
            <w:tcW w:w="1980" w:type="dxa"/>
          </w:tcPr>
          <w:p>
            <w:pPr>
              <w:rPr>
                <w:rFonts w:ascii="宋体" w:hAnsi="宋体" w:cs="宋体"/>
                <w:szCs w:val="21"/>
              </w:rPr>
            </w:pPr>
            <w:r>
              <w:rPr>
                <w:rFonts w:hint="eastAsia" w:ascii="宋体" w:hAnsi="宋体" w:cs="宋体"/>
                <w:szCs w:val="21"/>
              </w:rPr>
              <w:t>投标商务条款</w:t>
            </w:r>
          </w:p>
        </w:tc>
        <w:tc>
          <w:tcPr>
            <w:tcW w:w="1440" w:type="dxa"/>
          </w:tcPr>
          <w:p>
            <w:pPr>
              <w:rPr>
                <w:rFonts w:ascii="宋体" w:hAnsi="宋体" w:cs="宋体"/>
                <w:szCs w:val="21"/>
              </w:rPr>
            </w:pPr>
            <w:r>
              <w:rPr>
                <w:rFonts w:hint="eastAsia" w:ascii="宋体" w:hAnsi="宋体" w:cs="宋体"/>
                <w:szCs w:val="21"/>
              </w:rPr>
              <w:t>偏离情况</w:t>
            </w:r>
          </w:p>
        </w:tc>
        <w:tc>
          <w:tcPr>
            <w:tcW w:w="1164" w:type="dxa"/>
          </w:tcPr>
          <w:p>
            <w:pPr>
              <w:rPr>
                <w:rFonts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（一）免费保修期内售后服务条款偏离表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（二）免费保修期外售后服务条款偏离表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（三）其他商务条款偏离表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bl>
    <w:p>
      <w:pPr>
        <w:rPr>
          <w:rFonts w:ascii="宋体" w:hAnsi="宋体" w:cs="宋体"/>
          <w:szCs w:val="21"/>
        </w:rPr>
      </w:pPr>
      <w:r>
        <w:rPr>
          <w:rFonts w:hint="eastAsia" w:ascii="宋体" w:hAnsi="宋体" w:cs="宋体"/>
          <w:szCs w:val="21"/>
        </w:rPr>
        <w:t>备注：</w:t>
      </w:r>
    </w:p>
    <w:p>
      <w:pPr>
        <w:rPr>
          <w:rFonts w:ascii="宋体" w:hAnsi="宋体" w:cs="宋体"/>
          <w:b/>
          <w:szCs w:val="21"/>
        </w:rPr>
      </w:pPr>
      <w:r>
        <w:rPr>
          <w:rFonts w:hint="eastAsia" w:ascii="宋体" w:hAnsi="宋体" w:cs="宋体"/>
          <w:b/>
          <w:szCs w:val="21"/>
        </w:rPr>
        <w:t>1. “招标商务条款”一栏必须填写招标文件第二章“四、商务需求”的内容分别对应“（一）免费保修期内售后服务要求、（二）免费保修期外售后服务要求、（三）其他商务要求”的内容进行填写。</w:t>
      </w:r>
    </w:p>
    <w:p>
      <w:pPr>
        <w:rPr>
          <w:rFonts w:ascii="宋体" w:hAnsi="宋体" w:cs="宋体"/>
          <w:b/>
          <w:szCs w:val="21"/>
        </w:rPr>
      </w:pPr>
      <w:r>
        <w:rPr>
          <w:rFonts w:hint="eastAsia" w:ascii="宋体" w:hAnsi="宋体" w:cs="宋体"/>
          <w:b/>
          <w:szCs w:val="21"/>
        </w:rPr>
        <w:t>2. “投标商务条款”一栏必须详细填写投标商务条款的内容。</w:t>
      </w:r>
    </w:p>
    <w:p>
      <w:pPr>
        <w:rPr>
          <w:rFonts w:ascii="宋体" w:hAnsi="宋体" w:cs="宋体"/>
          <w:szCs w:val="21"/>
        </w:rPr>
      </w:pPr>
      <w:r>
        <w:rPr>
          <w:rFonts w:hint="eastAsia" w:ascii="宋体" w:hAnsi="宋体" w:cs="宋体"/>
          <w:b/>
          <w:szCs w:val="21"/>
        </w:rPr>
        <w:t>3. “偏离情况”栏中应如实填写“正偏离”、“负偏离”或“无偏离”。</w:t>
      </w:r>
    </w:p>
    <w:p>
      <w:pPr>
        <w:rPr>
          <w:rFonts w:ascii="宋体" w:hAnsi="宋体" w:cs="宋体"/>
          <w:b/>
          <w:szCs w:val="21"/>
        </w:rPr>
      </w:pPr>
      <w:r>
        <w:rPr>
          <w:rFonts w:hint="eastAsia" w:ascii="宋体" w:hAnsi="宋体" w:cs="宋体"/>
          <w:b/>
          <w:szCs w:val="21"/>
        </w:rPr>
        <w:t>3. 交货期条款为不可负偏离条款，投标文件响应为“负偏离”的，投标文件将按废标处理。</w:t>
      </w:r>
    </w:p>
    <w:p>
      <w:pPr>
        <w:rPr>
          <w:rFonts w:ascii="宋体" w:hAnsi="宋体" w:cs="宋体"/>
          <w:b/>
          <w:szCs w:val="21"/>
        </w:rPr>
      </w:pPr>
      <w:r>
        <w:rPr>
          <w:rFonts w:hint="eastAsia" w:ascii="宋体" w:hAnsi="宋体" w:cs="宋体"/>
          <w:b/>
          <w:szCs w:val="21"/>
        </w:rPr>
        <w:t>4. 开标一览表中填写的“交货期”必须与本表填写的“交货期”一致。如填写不一致，以开标一览表填写的“交货期”为准。</w:t>
      </w:r>
    </w:p>
    <w:p>
      <w:pPr>
        <w:rPr>
          <w:rFonts w:ascii="宋体" w:hAnsi="宋体" w:cs="宋体"/>
        </w:rPr>
      </w:pPr>
    </w:p>
    <w:p>
      <w:pPr>
        <w:rPr>
          <w:rFonts w:ascii="宋体" w:hAnsi="宋体" w:cs="宋体"/>
        </w:rPr>
      </w:pPr>
    </w:p>
    <w:p>
      <w:pPr>
        <w:pStyle w:val="3"/>
        <w:jc w:val="center"/>
        <w:rPr>
          <w:rFonts w:cs="宋体"/>
          <w:b w:val="0"/>
          <w:sz w:val="24"/>
          <w:szCs w:val="24"/>
        </w:rPr>
      </w:pPr>
      <w:r>
        <w:rPr>
          <w:rFonts w:hint="eastAsia" w:cs="宋体"/>
          <w:b w:val="0"/>
          <w:sz w:val="24"/>
          <w:szCs w:val="24"/>
        </w:rPr>
        <w:t>十、项目实施方案</w:t>
      </w: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b/>
          <w:szCs w:val="21"/>
        </w:rPr>
      </w:pPr>
      <w:r>
        <w:rPr>
          <w:rFonts w:hint="eastAsia" w:ascii="宋体" w:hAnsi="宋体" w:cs="宋体"/>
          <w:b/>
          <w:bCs/>
          <w:szCs w:val="21"/>
        </w:rPr>
        <w:t>（一）技术保障措施及</w:t>
      </w:r>
      <w:r>
        <w:rPr>
          <w:rFonts w:hint="eastAsia" w:ascii="宋体" w:hAnsi="宋体" w:cs="宋体"/>
          <w:b/>
          <w:szCs w:val="21"/>
        </w:rPr>
        <w:t>实施本项目的主要技术人员情况表。</w:t>
      </w:r>
    </w:p>
    <w:p>
      <w:pPr>
        <w:rPr>
          <w:rFonts w:ascii="宋体" w:hAnsi="宋体" w:cs="宋体"/>
          <w:bCs/>
          <w:szCs w:val="21"/>
        </w:rPr>
      </w:pPr>
      <w:r>
        <w:rPr>
          <w:rFonts w:hint="eastAsia" w:ascii="宋体" w:hAnsi="宋体" w:cs="宋体"/>
          <w:bCs/>
          <w:szCs w:val="21"/>
        </w:rPr>
        <w:t>提供具体的技术保障方案及</w:t>
      </w:r>
      <w:r>
        <w:rPr>
          <w:rFonts w:hint="eastAsia" w:ascii="宋体" w:hAnsi="宋体" w:cs="宋体"/>
          <w:szCs w:val="21"/>
        </w:rPr>
        <w:t>主要技术人员</w:t>
      </w:r>
      <w:r>
        <w:rPr>
          <w:rFonts w:hint="eastAsia" w:ascii="宋体" w:hAnsi="宋体" w:cs="宋体"/>
          <w:bCs/>
          <w:szCs w:val="21"/>
        </w:rPr>
        <w:t>的职称或其它证明资料</w:t>
      </w:r>
    </w:p>
    <w:p>
      <w:pPr>
        <w:rPr>
          <w:rFonts w:ascii="宋体" w:hAnsi="宋体" w:cs="宋体"/>
          <w:b/>
          <w:bCs/>
          <w:szCs w:val="21"/>
        </w:rPr>
      </w:pPr>
      <w:r>
        <w:rPr>
          <w:rFonts w:hint="eastAsia" w:ascii="宋体" w:hAnsi="宋体" w:cs="宋体"/>
          <w:b/>
          <w:bCs/>
          <w:szCs w:val="21"/>
        </w:rPr>
        <w:t>《拟投入本项目的组织机构及人员安排一览表》（表1 -表2）</w:t>
      </w:r>
    </w:p>
    <w:p>
      <w:pPr>
        <w:rPr>
          <w:rFonts w:ascii="宋体" w:hAnsi="宋体" w:cs="宋体"/>
          <w:bCs/>
          <w:szCs w:val="21"/>
        </w:rPr>
      </w:pPr>
      <w:r>
        <w:rPr>
          <w:rFonts w:hint="eastAsia" w:ascii="宋体" w:hAnsi="宋体" w:cs="宋体"/>
          <w:bCs/>
          <w:szCs w:val="21"/>
        </w:rPr>
        <w:t>表1  项目团队成员简历表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vAlign w:val="center"/>
          </w:tcPr>
          <w:p>
            <w:pPr>
              <w:rPr>
                <w:rFonts w:ascii="宋体" w:hAnsi="宋体" w:cs="宋体"/>
                <w:szCs w:val="21"/>
              </w:rPr>
            </w:pPr>
            <w:r>
              <w:rPr>
                <w:rFonts w:hint="eastAsia" w:ascii="宋体" w:hAnsi="宋体" w:cs="宋体"/>
                <w:szCs w:val="21"/>
              </w:rPr>
              <w:t>序号</w:t>
            </w:r>
          </w:p>
        </w:tc>
        <w:tc>
          <w:tcPr>
            <w:tcW w:w="1131" w:type="dxa"/>
            <w:vAlign w:val="center"/>
          </w:tcPr>
          <w:p>
            <w:pPr>
              <w:rPr>
                <w:rFonts w:ascii="宋体" w:hAnsi="宋体" w:cs="宋体"/>
                <w:szCs w:val="21"/>
              </w:rPr>
            </w:pPr>
            <w:r>
              <w:rPr>
                <w:rFonts w:hint="eastAsia" w:ascii="宋体" w:hAnsi="宋体" w:cs="宋体"/>
                <w:szCs w:val="21"/>
              </w:rPr>
              <w:t>姓名</w:t>
            </w:r>
          </w:p>
        </w:tc>
        <w:tc>
          <w:tcPr>
            <w:tcW w:w="1048" w:type="dxa"/>
            <w:vAlign w:val="center"/>
          </w:tcPr>
          <w:p>
            <w:pPr>
              <w:rPr>
                <w:rFonts w:ascii="宋体" w:hAnsi="宋体" w:cs="宋体"/>
                <w:szCs w:val="21"/>
              </w:rPr>
            </w:pPr>
            <w:r>
              <w:rPr>
                <w:rFonts w:hint="eastAsia" w:ascii="宋体" w:hAnsi="宋体" w:cs="宋体"/>
                <w:szCs w:val="21"/>
              </w:rPr>
              <w:t>职务</w:t>
            </w:r>
          </w:p>
        </w:tc>
        <w:tc>
          <w:tcPr>
            <w:tcW w:w="1048" w:type="dxa"/>
            <w:vAlign w:val="center"/>
          </w:tcPr>
          <w:p>
            <w:pPr>
              <w:rPr>
                <w:rFonts w:ascii="宋体" w:hAnsi="宋体" w:cs="宋体"/>
                <w:szCs w:val="21"/>
              </w:rPr>
            </w:pPr>
            <w:r>
              <w:rPr>
                <w:rFonts w:hint="eastAsia" w:ascii="宋体" w:hAnsi="宋体" w:cs="宋体"/>
                <w:szCs w:val="21"/>
              </w:rPr>
              <w:t>职称</w:t>
            </w:r>
          </w:p>
        </w:tc>
        <w:tc>
          <w:tcPr>
            <w:tcW w:w="872" w:type="dxa"/>
            <w:vAlign w:val="center"/>
          </w:tcPr>
          <w:p>
            <w:pPr>
              <w:rPr>
                <w:rFonts w:ascii="宋体" w:hAnsi="宋体" w:cs="宋体"/>
                <w:szCs w:val="21"/>
              </w:rPr>
            </w:pPr>
            <w:r>
              <w:rPr>
                <w:rFonts w:hint="eastAsia" w:ascii="宋体" w:hAnsi="宋体" w:cs="宋体"/>
                <w:szCs w:val="21"/>
              </w:rPr>
              <w:t>学历</w:t>
            </w:r>
          </w:p>
        </w:tc>
        <w:tc>
          <w:tcPr>
            <w:tcW w:w="2207" w:type="dxa"/>
            <w:vAlign w:val="center"/>
          </w:tcPr>
          <w:p>
            <w:pPr>
              <w:rPr>
                <w:rFonts w:ascii="宋体" w:hAnsi="宋体" w:cs="宋体"/>
                <w:szCs w:val="21"/>
              </w:rPr>
            </w:pPr>
            <w:r>
              <w:rPr>
                <w:rFonts w:hint="eastAsia" w:ascii="宋体" w:hAnsi="宋体" w:cs="宋体"/>
                <w:szCs w:val="21"/>
              </w:rPr>
              <w:t>证书名称/级别</w:t>
            </w:r>
          </w:p>
        </w:tc>
        <w:tc>
          <w:tcPr>
            <w:tcW w:w="1123" w:type="dxa"/>
            <w:vAlign w:val="center"/>
          </w:tcPr>
          <w:p>
            <w:pPr>
              <w:rPr>
                <w:rFonts w:ascii="宋体" w:hAnsi="宋体" w:cs="宋体"/>
                <w:szCs w:val="21"/>
              </w:rPr>
            </w:pPr>
            <w:r>
              <w:rPr>
                <w:rFonts w:hint="eastAsia" w:ascii="宋体" w:hAnsi="宋体" w:cs="宋体"/>
                <w:szCs w:val="21"/>
              </w:rPr>
              <w:t>专业</w:t>
            </w:r>
          </w:p>
        </w:tc>
        <w:tc>
          <w:tcPr>
            <w:tcW w:w="1209"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本项目一旦我单位中标，将实行项目负责人负责制，并配备上述项目管理班子，上述所报内容真实，否则，愿按有关规定接受处理，项目管理班子机构处置、职责分工等情况另附资料说明。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注：按配备表顺序附班子成员身份证、学历、职称、资格证书、社保证明复印件。</w:t>
      </w:r>
    </w:p>
    <w:p>
      <w:pPr>
        <w:rPr>
          <w:rFonts w:ascii="宋体" w:hAnsi="宋体" w:cs="宋体"/>
          <w:bCs/>
          <w:szCs w:val="21"/>
        </w:rPr>
      </w:pPr>
      <w:r>
        <w:rPr>
          <w:rFonts w:hint="eastAsia" w:ascii="宋体" w:hAnsi="宋体" w:cs="宋体"/>
          <w:bCs/>
          <w:szCs w:val="21"/>
        </w:rPr>
        <w:t>表2 项目负责人简历表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姓 名</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性 别</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年 龄</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职 务</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职 称</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学 历</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vAlign w:val="center"/>
          </w:tcPr>
          <w:p>
            <w:pPr>
              <w:rPr>
                <w:rFonts w:ascii="宋体" w:hAnsi="宋体" w:cs="宋体"/>
                <w:szCs w:val="21"/>
              </w:rPr>
            </w:pPr>
            <w:r>
              <w:rPr>
                <w:rFonts w:hint="eastAsia" w:ascii="宋体" w:hAnsi="宋体" w:cs="宋体"/>
                <w:szCs w:val="21"/>
              </w:rPr>
              <w:t>参加工作时间</w:t>
            </w:r>
          </w:p>
        </w:tc>
        <w:tc>
          <w:tcPr>
            <w:tcW w:w="2160" w:type="dxa"/>
            <w:gridSpan w:val="2"/>
            <w:vAlign w:val="center"/>
          </w:tcPr>
          <w:p>
            <w:pPr>
              <w:rPr>
                <w:rFonts w:ascii="宋体" w:hAnsi="宋体" w:cs="宋体"/>
                <w:szCs w:val="21"/>
              </w:rPr>
            </w:pPr>
          </w:p>
        </w:tc>
        <w:tc>
          <w:tcPr>
            <w:tcW w:w="3060" w:type="dxa"/>
            <w:gridSpan w:val="4"/>
            <w:vAlign w:val="center"/>
          </w:tcPr>
          <w:p>
            <w:pPr>
              <w:rPr>
                <w:rFonts w:ascii="宋体" w:hAnsi="宋体" w:cs="宋体"/>
                <w:szCs w:val="21"/>
              </w:rPr>
            </w:pPr>
            <w:r>
              <w:rPr>
                <w:rFonts w:hint="eastAsia" w:ascii="宋体" w:hAnsi="宋体" w:cs="宋体"/>
                <w:szCs w:val="21"/>
              </w:rPr>
              <w:t>从事项目负责人年限</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vAlign w:val="center"/>
          </w:tcPr>
          <w:p>
            <w:pPr>
              <w:rPr>
                <w:rFonts w:ascii="宋体" w:hAnsi="宋体" w:cs="宋体"/>
                <w:szCs w:val="21"/>
              </w:rPr>
            </w:pPr>
            <w:r>
              <w:rPr>
                <w:rFonts w:hint="eastAsia" w:ascii="宋体" w:hAnsi="宋体" w:cs="宋体"/>
                <w:szCs w:val="21"/>
              </w:rPr>
              <w:t>资格证书编号</w:t>
            </w:r>
          </w:p>
        </w:tc>
        <w:tc>
          <w:tcPr>
            <w:tcW w:w="5360" w:type="dxa"/>
            <w:gridSpan w:val="7"/>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项目经验情况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r>
              <w:rPr>
                <w:rFonts w:hint="eastAsia" w:ascii="宋体" w:hAnsi="宋体" w:cs="宋体"/>
                <w:szCs w:val="21"/>
              </w:rPr>
              <w:t>单位</w:t>
            </w:r>
          </w:p>
        </w:tc>
        <w:tc>
          <w:tcPr>
            <w:tcW w:w="1965" w:type="dxa"/>
            <w:gridSpan w:val="2"/>
            <w:vAlign w:val="center"/>
          </w:tcPr>
          <w:p>
            <w:pPr>
              <w:rPr>
                <w:rFonts w:ascii="宋体" w:hAnsi="宋体" w:cs="宋体"/>
                <w:szCs w:val="21"/>
              </w:rPr>
            </w:pPr>
            <w:r>
              <w:rPr>
                <w:rFonts w:hint="eastAsia" w:ascii="宋体" w:hAnsi="宋体" w:cs="宋体"/>
                <w:szCs w:val="21"/>
              </w:rPr>
              <w:t>项目名称</w:t>
            </w:r>
          </w:p>
        </w:tc>
        <w:tc>
          <w:tcPr>
            <w:tcW w:w="1232" w:type="dxa"/>
            <w:gridSpan w:val="2"/>
            <w:vAlign w:val="center"/>
          </w:tcPr>
          <w:p>
            <w:pPr>
              <w:rPr>
                <w:rFonts w:ascii="宋体" w:hAnsi="宋体" w:cs="宋体"/>
                <w:szCs w:val="21"/>
              </w:rPr>
            </w:pPr>
            <w:r>
              <w:rPr>
                <w:rFonts w:hint="eastAsia" w:ascii="宋体" w:hAnsi="宋体" w:cs="宋体"/>
                <w:szCs w:val="21"/>
              </w:rPr>
              <w:t>项目类型/规模/级别</w:t>
            </w:r>
          </w:p>
        </w:tc>
        <w:tc>
          <w:tcPr>
            <w:tcW w:w="1800" w:type="dxa"/>
            <w:gridSpan w:val="2"/>
            <w:vAlign w:val="center"/>
          </w:tcPr>
          <w:p>
            <w:pPr>
              <w:rPr>
                <w:rFonts w:ascii="宋体" w:hAnsi="宋体" w:cs="宋体"/>
                <w:szCs w:val="21"/>
              </w:rPr>
            </w:pPr>
            <w:r>
              <w:rPr>
                <w:rFonts w:hint="eastAsia" w:ascii="宋体" w:hAnsi="宋体" w:cs="宋体"/>
                <w:szCs w:val="21"/>
              </w:rPr>
              <w:t>项目开始和完成期</w:t>
            </w:r>
          </w:p>
        </w:tc>
        <w:tc>
          <w:tcPr>
            <w:tcW w:w="1371" w:type="dxa"/>
            <w:gridSpan w:val="2"/>
            <w:vAlign w:val="center"/>
          </w:tcPr>
          <w:p>
            <w:pPr>
              <w:rPr>
                <w:rFonts w:ascii="宋体" w:hAnsi="宋体" w:cs="宋体"/>
                <w:szCs w:val="21"/>
              </w:rPr>
            </w:pPr>
            <w:r>
              <w:rPr>
                <w:rFonts w:hint="eastAsia" w:ascii="宋体" w:hAnsi="宋体" w:cs="宋体"/>
                <w:szCs w:val="21"/>
              </w:rPr>
              <w:t>状态（在建或已完）</w:t>
            </w:r>
          </w:p>
        </w:tc>
        <w:tc>
          <w:tcPr>
            <w:tcW w:w="957"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注：附身份证、学历、职称、资格证书、社保证明复印件，项目经验证明文件复印件。</w:t>
      </w:r>
    </w:p>
    <w:tbl>
      <w:tblPr>
        <w:tblStyle w:val="3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tcPr>
          <w:p>
            <w:pPr>
              <w:rPr>
                <w:rFonts w:ascii="宋体" w:hAnsi="宋体" w:cs="宋体"/>
                <w:b/>
                <w:bCs/>
                <w:szCs w:val="21"/>
              </w:rPr>
            </w:pPr>
          </w:p>
          <w:p>
            <w:pPr>
              <w:rPr>
                <w:rFonts w:ascii="宋体" w:hAnsi="宋体" w:cs="宋体"/>
                <w:b/>
                <w:bCs/>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（二）项目交货期、实施进度表</w:t>
      </w:r>
    </w:p>
    <w:p>
      <w:pPr>
        <w:rPr>
          <w:rFonts w:ascii="宋体" w:hAnsi="宋体" w:cs="宋体"/>
          <w:szCs w:val="21"/>
        </w:rPr>
      </w:pPr>
      <w:r>
        <w:rPr>
          <w:rFonts w:hint="eastAsia" w:ascii="宋体" w:hAnsi="宋体" w:cs="宋体"/>
          <w:b/>
          <w:bCs/>
          <w:szCs w:val="21"/>
        </w:rPr>
        <w:t>（三）</w:t>
      </w:r>
      <w:r>
        <w:rPr>
          <w:rFonts w:hint="eastAsia" w:ascii="宋体" w:hAnsi="宋体" w:cs="宋体"/>
          <w:szCs w:val="21"/>
        </w:rPr>
        <w:t>相关配套措施</w:t>
      </w:r>
    </w:p>
    <w:p>
      <w:pPr>
        <w:rPr>
          <w:rFonts w:ascii="宋体" w:hAnsi="宋体" w:cs="宋体"/>
          <w:b/>
          <w:bCs/>
          <w:szCs w:val="21"/>
        </w:rPr>
      </w:pPr>
      <w:r>
        <w:rPr>
          <w:rFonts w:hint="eastAsia" w:ascii="宋体" w:hAnsi="宋体" w:cs="宋体"/>
          <w:b/>
          <w:bCs/>
          <w:szCs w:val="21"/>
        </w:rPr>
        <w:t>（备注：该部分须与“技术保障措施”、“施工安全保障措施”、“商务需求”等部分承诺的内容相呼应，不得前后矛盾。）</w:t>
      </w:r>
    </w:p>
    <w:p>
      <w:pPr>
        <w:rPr>
          <w:rFonts w:ascii="宋体" w:hAnsi="宋体" w:cs="宋体"/>
          <w:b/>
          <w:bCs/>
          <w:sz w:val="24"/>
        </w:rPr>
      </w:pPr>
    </w:p>
    <w:p>
      <w:pPr>
        <w:pStyle w:val="3"/>
        <w:jc w:val="center"/>
        <w:rPr>
          <w:rFonts w:cs="宋体"/>
          <w:b w:val="0"/>
          <w:sz w:val="24"/>
          <w:szCs w:val="24"/>
        </w:rPr>
      </w:pPr>
      <w:r>
        <w:rPr>
          <w:rFonts w:hint="eastAsia" w:cs="宋体"/>
          <w:b w:val="0"/>
          <w:sz w:val="24"/>
          <w:szCs w:val="24"/>
        </w:rPr>
        <w:t>十一、售后服务方案</w:t>
      </w:r>
    </w:p>
    <w:p>
      <w:pPr>
        <w:rPr>
          <w:rFonts w:ascii="宋体" w:hAnsi="宋体" w:cs="宋体"/>
          <w:sz w:val="24"/>
        </w:rPr>
      </w:pP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szCs w:val="21"/>
        </w:rPr>
      </w:pPr>
      <w:r>
        <w:rPr>
          <w:rFonts w:hint="eastAsia" w:ascii="宋体" w:hAnsi="宋体" w:cs="宋体"/>
          <w:szCs w:val="21"/>
        </w:rPr>
        <w:t>1、免费保修期；</w:t>
      </w:r>
    </w:p>
    <w:p>
      <w:pPr>
        <w:rPr>
          <w:rFonts w:ascii="宋体" w:hAnsi="宋体" w:cs="宋体"/>
          <w:szCs w:val="21"/>
        </w:rPr>
      </w:pPr>
      <w:r>
        <w:rPr>
          <w:rFonts w:hint="eastAsia" w:ascii="宋体" w:hAnsi="宋体" w:cs="宋体"/>
          <w:szCs w:val="21"/>
        </w:rPr>
        <w:t>2、故障或技术支持响应时间；</w:t>
      </w:r>
    </w:p>
    <w:p>
      <w:pPr>
        <w:rPr>
          <w:rFonts w:ascii="宋体" w:hAnsi="宋体" w:cs="宋体"/>
          <w:szCs w:val="21"/>
        </w:rPr>
      </w:pPr>
      <w:r>
        <w:rPr>
          <w:rFonts w:hint="eastAsia" w:ascii="宋体" w:hAnsi="宋体" w:cs="宋体"/>
          <w:szCs w:val="21"/>
        </w:rPr>
        <w:t>3、投标人承诺的其他维修维护方案、措施</w:t>
      </w:r>
    </w:p>
    <w:p>
      <w:pPr>
        <w:rPr>
          <w:rFonts w:ascii="宋体" w:hAnsi="宋体" w:cs="宋体"/>
          <w:szCs w:val="21"/>
        </w:rPr>
      </w:pPr>
      <w:r>
        <w:rPr>
          <w:rFonts w:hint="eastAsia" w:ascii="宋体" w:hAnsi="宋体" w:cs="宋体"/>
          <w:szCs w:val="21"/>
        </w:rPr>
        <w:t>4、质量保证及违约承诺。</w:t>
      </w:r>
    </w:p>
    <w:p>
      <w:pPr>
        <w:rPr>
          <w:rFonts w:ascii="宋体" w:hAnsi="宋体" w:cs="宋体"/>
          <w:b/>
          <w:szCs w:val="21"/>
        </w:rPr>
      </w:pPr>
      <w:r>
        <w:rPr>
          <w:rFonts w:hint="eastAsia" w:ascii="宋体" w:hAnsi="宋体" w:cs="宋体"/>
          <w:b/>
          <w:szCs w:val="21"/>
        </w:rPr>
        <w:t>（备注：该部分须与“商务需求”承诺的内容相呼应，不得前后矛盾。）</w:t>
      </w: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szCs w:val="21"/>
        </w:rPr>
      </w:pPr>
    </w:p>
    <w:p>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pPr>
        <w:rPr>
          <w:rFonts w:ascii="宋体" w:hAnsi="宋体" w:cs="宋体"/>
        </w:rPr>
      </w:pPr>
      <w:r>
        <w:rPr>
          <w:rFonts w:hint="eastAsia" w:ascii="宋体" w:hAnsi="宋体" w:cs="宋体"/>
          <w:szCs w:val="22"/>
        </w:rPr>
        <w:br w:type="page"/>
      </w:r>
    </w:p>
    <w:p>
      <w:pPr>
        <w:pStyle w:val="2"/>
      </w:pPr>
      <w:r>
        <w:rPr>
          <w:rFonts w:hint="eastAsia"/>
        </w:rPr>
        <w:t>第四章  合同条款及格式（仅供参考）</w:t>
      </w:r>
    </w:p>
    <w:p>
      <w:pPr>
        <w:jc w:val="left"/>
        <w:rPr>
          <w:rFonts w:ascii="宋体" w:hAnsi="宋体" w:cs="宋体"/>
          <w:szCs w:val="21"/>
        </w:rPr>
      </w:pPr>
      <w:r>
        <w:rPr>
          <w:rFonts w:hint="eastAsia" w:ascii="宋体" w:hAnsi="宋体" w:cs="宋体"/>
          <w:szCs w:val="21"/>
        </w:rPr>
        <w:t>采购人：</w:t>
      </w:r>
      <w:r>
        <w:rPr>
          <w:rFonts w:hint="eastAsia" w:ascii="宋体" w:hAnsi="宋体" w:cs="宋体"/>
          <w:szCs w:val="21"/>
          <w:u w:val="single"/>
        </w:rPr>
        <w:t xml:space="preserve">           </w:t>
      </w:r>
    </w:p>
    <w:p>
      <w:pPr>
        <w:jc w:val="lef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p>
    <w:p>
      <w:pPr>
        <w:jc w:val="left"/>
        <w:rPr>
          <w:rFonts w:ascii="宋体" w:hAnsi="宋体" w:cs="宋体"/>
          <w:sz w:val="24"/>
        </w:rPr>
      </w:pPr>
    </w:p>
    <w:p>
      <w:pPr>
        <w:spacing w:line="360" w:lineRule="auto"/>
        <w:ind w:firstLine="560"/>
        <w:jc w:val="left"/>
        <w:rPr>
          <w:rFonts w:ascii="宋体" w:hAnsi="宋体" w:cs="宋体"/>
          <w:szCs w:val="21"/>
        </w:rPr>
      </w:pPr>
      <w:r>
        <w:rPr>
          <w:rFonts w:hint="eastAsia" w:ascii="宋体" w:hAnsi="宋体" w:cs="宋体"/>
          <w:szCs w:val="21"/>
        </w:rPr>
        <w:t>根据深圳市政府采购中心</w:t>
      </w:r>
      <w:r>
        <w:rPr>
          <w:rFonts w:hint="eastAsia" w:ascii="宋体" w:hAnsi="宋体" w:cs="宋体"/>
          <w:szCs w:val="21"/>
          <w:u w:val="single"/>
        </w:rPr>
        <w:t xml:space="preserve">        </w:t>
      </w:r>
      <w:r>
        <w:rPr>
          <w:rFonts w:hint="eastAsia" w:ascii="宋体" w:hAnsi="宋体" w:cs="宋体"/>
          <w:szCs w:val="21"/>
        </w:rPr>
        <w:t>号招标项目的投标结果，由</w:t>
      </w:r>
      <w:r>
        <w:rPr>
          <w:rFonts w:hint="eastAsia" w:ascii="宋体" w:hAnsi="宋体" w:cs="宋体"/>
          <w:szCs w:val="21"/>
          <w:u w:val="single"/>
        </w:rPr>
        <w:t xml:space="preserve">       </w:t>
      </w:r>
      <w:r>
        <w:rPr>
          <w:rFonts w:hint="eastAsia" w:ascii="宋体" w:hAnsi="宋体" w:cs="宋体"/>
          <w:szCs w:val="21"/>
        </w:rPr>
        <w:t>单位为中标方。按照《中华人民共和国合同法》和《深圳经济特区政府采购条例》，经深圳市</w:t>
      </w:r>
      <w:r>
        <w:rPr>
          <w:rFonts w:hint="eastAsia" w:ascii="宋体" w:hAnsi="宋体" w:cs="宋体"/>
          <w:szCs w:val="21"/>
          <w:u w:val="single"/>
        </w:rPr>
        <w:t xml:space="preserve">           </w:t>
      </w:r>
      <w:r>
        <w:rPr>
          <w:rFonts w:hint="eastAsia" w:ascii="宋体" w:hAnsi="宋体" w:cs="宋体"/>
          <w:szCs w:val="21"/>
        </w:rPr>
        <w:t>（以下简称甲方）和</w:t>
      </w:r>
      <w:r>
        <w:rPr>
          <w:rFonts w:hint="eastAsia" w:ascii="宋体" w:hAnsi="宋体" w:cs="宋体"/>
          <w:szCs w:val="21"/>
          <w:u w:val="single"/>
        </w:rPr>
        <w:t xml:space="preserve">           </w:t>
      </w:r>
      <w:r>
        <w:rPr>
          <w:rFonts w:hint="eastAsia" w:ascii="宋体" w:hAnsi="宋体" w:cs="宋体"/>
          <w:szCs w:val="21"/>
        </w:rPr>
        <w:t>单位（以下简称乙方）协商，达成以下合同条款：</w:t>
      </w:r>
    </w:p>
    <w:p>
      <w:pPr>
        <w:spacing w:line="360" w:lineRule="auto"/>
        <w:ind w:firstLine="560"/>
        <w:jc w:val="left"/>
        <w:rPr>
          <w:rFonts w:ascii="宋体" w:hAnsi="宋体" w:cs="宋体"/>
          <w:b/>
          <w:szCs w:val="21"/>
        </w:rPr>
      </w:pPr>
      <w:r>
        <w:rPr>
          <w:rFonts w:hint="eastAsia" w:ascii="宋体" w:hAnsi="宋体" w:cs="宋体"/>
          <w:b/>
          <w:szCs w:val="21"/>
        </w:rPr>
        <w:t>第一条  合同标的</w:t>
      </w:r>
    </w:p>
    <w:p>
      <w:pPr>
        <w:spacing w:line="360" w:lineRule="auto"/>
        <w:ind w:firstLine="560"/>
        <w:jc w:val="left"/>
        <w:rPr>
          <w:rFonts w:ascii="宋体" w:hAnsi="宋体" w:cs="宋体"/>
          <w:szCs w:val="21"/>
        </w:rPr>
      </w:pPr>
      <w:r>
        <w:rPr>
          <w:rFonts w:hint="eastAsia" w:ascii="宋体" w:hAnsi="宋体" w:cs="宋体"/>
          <w:szCs w:val="21"/>
        </w:rPr>
        <w:t>乙方根据甲方需求提供下列货物：</w:t>
      </w:r>
    </w:p>
    <w:p>
      <w:pPr>
        <w:spacing w:line="360" w:lineRule="auto"/>
        <w:ind w:firstLine="560"/>
        <w:jc w:val="left"/>
        <w:rPr>
          <w:rFonts w:ascii="宋体" w:hAnsi="宋体" w:cs="宋体"/>
          <w:szCs w:val="21"/>
        </w:rPr>
      </w:pPr>
      <w:r>
        <w:rPr>
          <w:rFonts w:hint="eastAsia" w:ascii="宋体" w:hAnsi="宋体" w:cs="宋体"/>
          <w:szCs w:val="21"/>
        </w:rPr>
        <w:t>货物名称、规格及数量详见</w:t>
      </w:r>
      <w:r>
        <w:rPr>
          <w:rFonts w:hint="eastAsia" w:ascii="宋体" w:hAnsi="宋体" w:cs="宋体"/>
          <w:b/>
          <w:szCs w:val="21"/>
          <w:u w:val="single"/>
        </w:rPr>
        <w:t xml:space="preserve">                  </w:t>
      </w:r>
      <w:r>
        <w:rPr>
          <w:rFonts w:hint="eastAsia" w:ascii="宋体" w:hAnsi="宋体" w:cs="宋体"/>
          <w:szCs w:val="21"/>
        </w:rPr>
        <w:t>。</w:t>
      </w:r>
    </w:p>
    <w:p>
      <w:pPr>
        <w:spacing w:line="360" w:lineRule="auto"/>
        <w:ind w:firstLine="560"/>
        <w:jc w:val="left"/>
        <w:rPr>
          <w:rFonts w:ascii="宋体" w:hAnsi="宋体" w:cs="宋体"/>
          <w:b/>
          <w:szCs w:val="21"/>
        </w:rPr>
      </w:pPr>
      <w:r>
        <w:rPr>
          <w:rFonts w:hint="eastAsia" w:ascii="宋体" w:hAnsi="宋体" w:cs="宋体"/>
          <w:b/>
          <w:szCs w:val="21"/>
        </w:rPr>
        <w:t>第二条  合同价款</w:t>
      </w:r>
    </w:p>
    <w:p>
      <w:pPr>
        <w:spacing w:line="360" w:lineRule="auto"/>
        <w:ind w:firstLine="560"/>
        <w:jc w:val="left"/>
        <w:rPr>
          <w:rFonts w:ascii="宋体" w:hAnsi="宋体" w:cs="宋体"/>
          <w:szCs w:val="21"/>
        </w:rPr>
      </w:pPr>
      <w:r>
        <w:rPr>
          <w:rFonts w:hint="eastAsia" w:ascii="宋体" w:hAnsi="宋体" w:cs="宋体"/>
          <w:szCs w:val="21"/>
        </w:rPr>
        <w:t>本合同项下总价款为</w:t>
      </w:r>
      <w:r>
        <w:rPr>
          <w:rFonts w:hint="eastAsia" w:ascii="宋体" w:hAnsi="宋体" w:cs="宋体"/>
          <w:szCs w:val="21"/>
          <w:u w:val="single"/>
        </w:rPr>
        <w:t xml:space="preserve">              </w:t>
      </w:r>
      <w:r>
        <w:rPr>
          <w:rFonts w:hint="eastAsia" w:ascii="宋体" w:hAnsi="宋体" w:cs="宋体"/>
          <w:szCs w:val="21"/>
        </w:rPr>
        <w:t>（大写）人民币，分项价款详见</w:t>
      </w:r>
      <w:r>
        <w:rPr>
          <w:rFonts w:hint="eastAsia" w:ascii="宋体" w:hAnsi="宋体" w:cs="宋体"/>
          <w:b/>
          <w:szCs w:val="21"/>
          <w:u w:val="single"/>
        </w:rPr>
        <w:t xml:space="preserve">          </w:t>
      </w:r>
      <w:r>
        <w:rPr>
          <w:rFonts w:hint="eastAsia" w:ascii="宋体" w:hAnsi="宋体" w:cs="宋体"/>
          <w:szCs w:val="21"/>
        </w:rPr>
        <w:t>。本合同总价款已包括乙方为履行本合同义务所发生的一切费用，系固定不变价格，且不随通货膨胀的影响而波动。</w:t>
      </w:r>
    </w:p>
    <w:p>
      <w:pPr>
        <w:spacing w:line="360" w:lineRule="auto"/>
        <w:ind w:firstLine="560"/>
        <w:jc w:val="left"/>
        <w:rPr>
          <w:rFonts w:ascii="宋体" w:hAnsi="宋体" w:cs="宋体"/>
          <w:b/>
          <w:szCs w:val="21"/>
        </w:rPr>
      </w:pPr>
      <w:r>
        <w:rPr>
          <w:rFonts w:hint="eastAsia" w:ascii="宋体" w:hAnsi="宋体" w:cs="宋体"/>
          <w:b/>
          <w:szCs w:val="21"/>
        </w:rPr>
        <w:t>第三条  权利保证</w:t>
      </w:r>
    </w:p>
    <w:p>
      <w:pPr>
        <w:spacing w:line="360" w:lineRule="auto"/>
        <w:ind w:firstLine="560"/>
        <w:jc w:val="left"/>
        <w:rPr>
          <w:rFonts w:ascii="宋体" w:hAnsi="宋体" w:cs="宋体"/>
          <w:szCs w:val="21"/>
        </w:rPr>
      </w:pPr>
      <w:r>
        <w:rPr>
          <w:rFonts w:hint="eastAsia" w:ascii="宋体" w:hAnsi="宋体" w:cs="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rFonts w:ascii="宋体" w:hAnsi="宋体" w:cs="宋体"/>
          <w:b/>
          <w:szCs w:val="21"/>
        </w:rPr>
      </w:pPr>
      <w:r>
        <w:rPr>
          <w:rFonts w:hint="eastAsia" w:ascii="宋体" w:hAnsi="宋体" w:cs="宋体"/>
          <w:b/>
          <w:szCs w:val="21"/>
        </w:rPr>
        <w:t>第四条  质量保证</w:t>
      </w:r>
    </w:p>
    <w:p>
      <w:pPr>
        <w:spacing w:line="360" w:lineRule="auto"/>
        <w:ind w:firstLine="560"/>
        <w:jc w:val="left"/>
        <w:rPr>
          <w:rFonts w:ascii="宋体" w:hAnsi="宋体" w:cs="宋体"/>
          <w:szCs w:val="21"/>
        </w:rPr>
      </w:pPr>
      <w:r>
        <w:rPr>
          <w:rFonts w:hint="eastAsia" w:ascii="宋体" w:hAnsi="宋体" w:cs="宋体"/>
          <w:szCs w:val="21"/>
        </w:rPr>
        <w:t>1、乙方所提供的货物的技术规格符合招标文件规定的技术规格，货物符合中华人民共和国的设计和制造生产标准或行业标准。</w:t>
      </w:r>
    </w:p>
    <w:p>
      <w:pPr>
        <w:spacing w:line="360" w:lineRule="auto"/>
        <w:ind w:firstLine="560"/>
        <w:jc w:val="left"/>
        <w:rPr>
          <w:rFonts w:ascii="宋体" w:hAnsi="宋体" w:cs="宋体"/>
          <w:szCs w:val="21"/>
        </w:rPr>
      </w:pPr>
      <w:r>
        <w:rPr>
          <w:rFonts w:hint="eastAsia" w:ascii="宋体" w:hAnsi="宋体" w:cs="宋体"/>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hAnsi="宋体" w:cs="宋体"/>
          <w:szCs w:val="21"/>
        </w:rPr>
      </w:pPr>
      <w:r>
        <w:rPr>
          <w:rFonts w:hint="eastAsia" w:ascii="宋体" w:hAnsi="宋体" w:cs="宋体"/>
          <w:szCs w:val="21"/>
        </w:rPr>
        <w:t>3、乙方保证交货时一并提供货物的质量合格凭证或文件。</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第五条  交货和验收</w:t>
      </w:r>
    </w:p>
    <w:p>
      <w:pPr>
        <w:spacing w:line="360" w:lineRule="auto"/>
        <w:ind w:firstLine="560"/>
        <w:jc w:val="left"/>
        <w:rPr>
          <w:rFonts w:ascii="宋体" w:hAnsi="宋体" w:cs="宋体"/>
          <w:szCs w:val="21"/>
        </w:rPr>
      </w:pPr>
      <w:r>
        <w:rPr>
          <w:rFonts w:hint="eastAsia" w:ascii="宋体" w:hAnsi="宋体" w:cs="宋体"/>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hAnsi="宋体" w:cs="宋体"/>
          <w:szCs w:val="21"/>
        </w:rPr>
      </w:pPr>
      <w:r>
        <w:rPr>
          <w:rFonts w:hint="eastAsia" w:ascii="宋体" w:hAnsi="宋体" w:cs="宋体"/>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hAnsi="宋体" w:cs="宋体"/>
          <w:szCs w:val="21"/>
        </w:rPr>
      </w:pPr>
      <w:r>
        <w:rPr>
          <w:rFonts w:hint="eastAsia" w:ascii="宋体" w:hAnsi="宋体" w:cs="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hAnsi="宋体" w:cs="宋体"/>
          <w:szCs w:val="21"/>
        </w:rPr>
      </w:pPr>
      <w:r>
        <w:rPr>
          <w:rFonts w:hint="eastAsia" w:ascii="宋体" w:hAnsi="宋体" w:cs="宋体"/>
          <w:szCs w:val="21"/>
        </w:rPr>
        <w:t>4、甲方应当在到货后的</w:t>
      </w:r>
      <w:r>
        <w:rPr>
          <w:rFonts w:hint="eastAsia" w:ascii="宋体" w:hAnsi="宋体" w:cs="宋体"/>
          <w:szCs w:val="21"/>
          <w:u w:val="single"/>
        </w:rPr>
        <w:t xml:space="preserve">       </w:t>
      </w:r>
      <w:r>
        <w:rPr>
          <w:rFonts w:hint="eastAsia" w:ascii="宋体" w:hAnsi="宋体" w:cs="宋体"/>
          <w:szCs w:val="21"/>
        </w:rPr>
        <w:t>个工作日内对货物进行验收；需要乙方对货物或系统进行安装调试的，甲方应在货物安装调试完毕后的</w:t>
      </w:r>
      <w:r>
        <w:rPr>
          <w:rFonts w:hint="eastAsia" w:ascii="宋体" w:hAnsi="宋体" w:cs="宋体"/>
          <w:szCs w:val="21"/>
          <w:u w:val="single"/>
        </w:rPr>
        <w:t xml:space="preserve">       </w:t>
      </w:r>
      <w:r>
        <w:rPr>
          <w:rFonts w:hint="eastAsia" w:ascii="宋体" w:hAnsi="宋体" w:cs="宋体"/>
          <w:szCs w:val="21"/>
        </w:rPr>
        <w:t>个工作日内进行质量验收。</w:t>
      </w:r>
    </w:p>
    <w:p>
      <w:pPr>
        <w:spacing w:line="360" w:lineRule="auto"/>
        <w:ind w:firstLine="560"/>
        <w:jc w:val="left"/>
        <w:rPr>
          <w:rFonts w:ascii="宋体" w:hAnsi="宋体" w:cs="宋体"/>
          <w:b/>
          <w:szCs w:val="21"/>
        </w:rPr>
      </w:pPr>
      <w:r>
        <w:rPr>
          <w:rFonts w:hint="eastAsia" w:ascii="宋体" w:hAnsi="宋体" w:cs="宋体"/>
          <w:b/>
          <w:szCs w:val="21"/>
        </w:rPr>
        <w:t>第六条  保修及其他服务</w:t>
      </w:r>
    </w:p>
    <w:p>
      <w:pPr>
        <w:spacing w:line="360" w:lineRule="auto"/>
        <w:ind w:firstLine="560"/>
        <w:jc w:val="left"/>
        <w:rPr>
          <w:rFonts w:ascii="宋体" w:hAnsi="宋体" w:cs="宋体"/>
          <w:szCs w:val="21"/>
        </w:rPr>
      </w:pPr>
      <w:r>
        <w:rPr>
          <w:rFonts w:hint="eastAsia" w:ascii="宋体" w:hAnsi="宋体" w:cs="宋体"/>
          <w:szCs w:val="21"/>
        </w:rPr>
        <w:t>1、乙方应按照国家有关法律法规规章和“三包”规定和招标文件的要求及乙方在投标文件的相关承诺提供保修及其他服务。</w:t>
      </w:r>
    </w:p>
    <w:p>
      <w:pPr>
        <w:spacing w:line="360" w:lineRule="auto"/>
        <w:ind w:firstLine="560"/>
        <w:jc w:val="left"/>
        <w:rPr>
          <w:rFonts w:ascii="宋体" w:hAnsi="宋体" w:cs="宋体"/>
          <w:szCs w:val="21"/>
        </w:rPr>
      </w:pPr>
      <w:r>
        <w:rPr>
          <w:rFonts w:hint="eastAsia" w:ascii="宋体" w:hAnsi="宋体" w:cs="宋体"/>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360" w:lineRule="auto"/>
        <w:ind w:firstLine="560"/>
        <w:jc w:val="left"/>
        <w:rPr>
          <w:rFonts w:ascii="宋体" w:hAnsi="宋体" w:cs="宋体"/>
          <w:b/>
          <w:szCs w:val="21"/>
        </w:rPr>
      </w:pPr>
      <w:r>
        <w:rPr>
          <w:rFonts w:hint="eastAsia" w:ascii="宋体" w:hAnsi="宋体" w:cs="宋体"/>
          <w:b/>
          <w:szCs w:val="21"/>
        </w:rPr>
        <w:t>第七条  履约保证金</w:t>
      </w:r>
    </w:p>
    <w:p>
      <w:pPr>
        <w:spacing w:line="360" w:lineRule="auto"/>
        <w:ind w:firstLine="560"/>
        <w:jc w:val="left"/>
        <w:rPr>
          <w:rFonts w:ascii="宋体" w:hAnsi="宋体" w:cs="宋体"/>
          <w:szCs w:val="21"/>
        </w:rPr>
      </w:pPr>
      <w:r>
        <w:rPr>
          <w:rFonts w:hint="eastAsia" w:ascii="宋体" w:hAnsi="宋体" w:cs="宋体"/>
          <w:szCs w:val="21"/>
        </w:rPr>
        <w:t>1、乙方应在签订本合同之日，向甲方或甲方指定的机构提交履约保证金_________元。</w:t>
      </w:r>
    </w:p>
    <w:p>
      <w:pPr>
        <w:spacing w:line="360" w:lineRule="auto"/>
        <w:ind w:firstLine="560"/>
        <w:jc w:val="left"/>
        <w:rPr>
          <w:rFonts w:ascii="宋体" w:hAnsi="宋体" w:cs="宋体"/>
          <w:szCs w:val="21"/>
        </w:rPr>
      </w:pPr>
      <w:r>
        <w:rPr>
          <w:rFonts w:hint="eastAsia" w:ascii="宋体" w:hAnsi="宋体" w:cs="宋体"/>
          <w:szCs w:val="21"/>
        </w:rPr>
        <w:t>2、如乙方未能履行合同规定的义务，甲方有权从履约保证金中取得补偿。</w:t>
      </w:r>
    </w:p>
    <w:p>
      <w:pPr>
        <w:spacing w:line="360" w:lineRule="auto"/>
        <w:ind w:firstLine="560"/>
        <w:jc w:val="left"/>
        <w:rPr>
          <w:rFonts w:ascii="宋体" w:hAnsi="宋体" w:cs="宋体"/>
          <w:szCs w:val="21"/>
        </w:rPr>
      </w:pPr>
      <w:r>
        <w:rPr>
          <w:rFonts w:hint="eastAsia" w:ascii="宋体" w:hAnsi="宋体" w:cs="宋体"/>
          <w:szCs w:val="21"/>
        </w:rPr>
        <w:t>3、甲方在乙方履行完毕本合同项下全部义务后______天内无息退还乙方。</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第八条   货款支付</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第九条    违约责任</w:t>
      </w:r>
    </w:p>
    <w:p>
      <w:pPr>
        <w:spacing w:line="360" w:lineRule="auto"/>
        <w:ind w:firstLine="560"/>
        <w:jc w:val="left"/>
        <w:rPr>
          <w:rFonts w:ascii="宋体" w:hAnsi="宋体" w:cs="宋体"/>
          <w:szCs w:val="21"/>
        </w:rPr>
      </w:pPr>
      <w:r>
        <w:rPr>
          <w:rFonts w:hint="eastAsia" w:ascii="宋体" w:hAnsi="宋体" w:cs="宋体"/>
          <w:szCs w:val="21"/>
        </w:rPr>
        <w:t>１、甲方无正当理由拒收货物、拒付货物款的，由甲方向乙方偿付合同总价的【】%违约金。</w:t>
      </w:r>
    </w:p>
    <w:p>
      <w:pPr>
        <w:spacing w:line="360" w:lineRule="auto"/>
        <w:ind w:firstLine="560"/>
        <w:jc w:val="left"/>
        <w:rPr>
          <w:rFonts w:ascii="宋体" w:hAnsi="宋体" w:cs="宋体"/>
          <w:szCs w:val="21"/>
        </w:rPr>
      </w:pPr>
      <w:r>
        <w:rPr>
          <w:rFonts w:hint="eastAsia" w:ascii="宋体" w:hAnsi="宋体" w:cs="宋体"/>
          <w:szCs w:val="21"/>
        </w:rPr>
        <w:t>２、甲方未按合同规定的期限向乙方支付货款的，每逾期1天甲方向乙方偿付欠款总额的【】‰滞纳金，但累计滞纳金总额不超过欠款总额的【】% 。</w:t>
      </w:r>
    </w:p>
    <w:p>
      <w:pPr>
        <w:spacing w:line="360" w:lineRule="auto"/>
        <w:ind w:firstLine="560"/>
        <w:jc w:val="left"/>
        <w:rPr>
          <w:rFonts w:ascii="宋体" w:hAnsi="宋体" w:cs="宋体"/>
          <w:szCs w:val="21"/>
        </w:rPr>
      </w:pPr>
      <w:r>
        <w:rPr>
          <w:rFonts w:hint="eastAsia" w:ascii="宋体" w:hAnsi="宋体" w:cs="宋体"/>
          <w:szCs w:val="21"/>
        </w:rPr>
        <w:t>３、乙方逾期交付货物的，每逾期1天，乙方向甲方偿付逾期交货部分货款总额的【】‰的滞纳金。如乙方逾期交货达</w:t>
      </w:r>
      <w:r>
        <w:rPr>
          <w:rFonts w:hint="eastAsia" w:ascii="宋体" w:hAnsi="宋体" w:cs="宋体"/>
          <w:szCs w:val="21"/>
          <w:u w:val="single"/>
        </w:rPr>
        <w:t xml:space="preserve">    </w:t>
      </w:r>
      <w:r>
        <w:rPr>
          <w:rFonts w:hint="eastAsia" w:ascii="宋体" w:hAnsi="宋体" w:cs="宋体"/>
          <w:szCs w:val="21"/>
        </w:rPr>
        <w:t>天，甲方有权解除合同，履约保证金不予退回，同时乙方应向甲方支付合同总价【】％的违约金。</w:t>
      </w:r>
    </w:p>
    <w:p>
      <w:pPr>
        <w:spacing w:line="360" w:lineRule="auto"/>
        <w:ind w:firstLine="560"/>
        <w:jc w:val="left"/>
        <w:rPr>
          <w:rFonts w:ascii="宋体" w:hAnsi="宋体" w:cs="宋体"/>
          <w:szCs w:val="21"/>
        </w:rPr>
      </w:pPr>
      <w:r>
        <w:rPr>
          <w:rFonts w:hint="eastAsia" w:ascii="宋体" w:hAnsi="宋体" w:cs="宋体"/>
          <w:szCs w:val="21"/>
        </w:rPr>
        <w:t>4、乙方所交付的货物品种、型号、规格不符合合同规定的，甲方有权拒收。甲方拒收的，乙方应向甲方支付货款总额【】%的违约金。</w:t>
      </w:r>
    </w:p>
    <w:p>
      <w:pPr>
        <w:spacing w:line="360" w:lineRule="auto"/>
        <w:ind w:firstLine="560"/>
        <w:jc w:val="left"/>
        <w:rPr>
          <w:rFonts w:ascii="宋体" w:hAnsi="宋体" w:cs="宋体"/>
          <w:szCs w:val="21"/>
        </w:rPr>
      </w:pPr>
      <w:r>
        <w:rPr>
          <w:rFonts w:hint="eastAsia" w:ascii="宋体" w:hAnsi="宋体" w:cs="宋体"/>
          <w:szCs w:val="21"/>
        </w:rPr>
        <w:t>5、在乙方承诺的或国家规定的质量保证期内（取两者中最长的期限），如经乙方两次维修或更换，货物仍不能达到合同约定的质量标准，甲方有权退货，乙方应退回全部货款并赔偿甲方因此遭受的损失。</w:t>
      </w:r>
    </w:p>
    <w:p>
      <w:pPr>
        <w:spacing w:line="360" w:lineRule="auto"/>
        <w:ind w:firstLine="560"/>
        <w:jc w:val="left"/>
        <w:rPr>
          <w:rFonts w:ascii="宋体" w:hAnsi="宋体" w:cs="宋体"/>
          <w:szCs w:val="21"/>
        </w:rPr>
      </w:pPr>
      <w:r>
        <w:rPr>
          <w:rFonts w:hint="eastAsia" w:ascii="宋体" w:hAnsi="宋体" w:cs="宋体"/>
          <w:szCs w:val="21"/>
        </w:rPr>
        <w:t>6、乙方未履行本合同项下的其他义务或违反其在投标文件中的相关承诺的，应按合同总价款的【】%向甲方承担违约责任。</w:t>
      </w:r>
    </w:p>
    <w:p>
      <w:pPr>
        <w:spacing w:line="360" w:lineRule="auto"/>
        <w:ind w:firstLine="560"/>
        <w:jc w:val="left"/>
        <w:rPr>
          <w:rFonts w:ascii="宋体" w:hAnsi="宋体" w:cs="宋体"/>
          <w:szCs w:val="21"/>
        </w:rPr>
      </w:pPr>
      <w:r>
        <w:rPr>
          <w:rFonts w:hint="eastAsia" w:ascii="宋体" w:hAnsi="宋体" w:cs="宋体"/>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rFonts w:ascii="宋体" w:hAnsi="宋体" w:cs="宋体"/>
          <w:b/>
          <w:szCs w:val="21"/>
        </w:rPr>
      </w:pPr>
      <w:r>
        <w:rPr>
          <w:rFonts w:hint="eastAsia" w:ascii="宋体" w:hAnsi="宋体" w:cs="宋体"/>
          <w:b/>
          <w:szCs w:val="21"/>
        </w:rPr>
        <w:t>第十条    合同的变更和终止</w:t>
      </w:r>
    </w:p>
    <w:p>
      <w:pPr>
        <w:spacing w:line="360" w:lineRule="auto"/>
        <w:ind w:firstLine="560"/>
        <w:jc w:val="left"/>
        <w:rPr>
          <w:rFonts w:ascii="宋体" w:hAnsi="宋体" w:cs="宋体"/>
          <w:szCs w:val="21"/>
        </w:rPr>
      </w:pPr>
      <w:r>
        <w:rPr>
          <w:rFonts w:hint="eastAsia" w:ascii="宋体" w:hAnsi="宋体" w:cs="宋体"/>
          <w:szCs w:val="21"/>
        </w:rPr>
        <w:t>除《中华人民共和国政府采购法》第４９条、第５０条第二款规定的情形外，本合同一经签订，甲乙双方不得擅自变更、中止或终止合同。</w:t>
      </w:r>
    </w:p>
    <w:p>
      <w:pPr>
        <w:spacing w:line="360" w:lineRule="auto"/>
        <w:ind w:firstLine="560"/>
        <w:jc w:val="left"/>
        <w:rPr>
          <w:rFonts w:ascii="宋体" w:hAnsi="宋体" w:cs="宋体"/>
          <w:b/>
          <w:szCs w:val="21"/>
        </w:rPr>
      </w:pPr>
      <w:r>
        <w:rPr>
          <w:rFonts w:hint="eastAsia" w:ascii="宋体" w:hAnsi="宋体" w:cs="宋体"/>
          <w:b/>
          <w:szCs w:val="21"/>
        </w:rPr>
        <w:t>第十一条   争议的解决</w:t>
      </w:r>
    </w:p>
    <w:p>
      <w:pPr>
        <w:spacing w:line="360" w:lineRule="auto"/>
        <w:ind w:firstLine="560"/>
        <w:jc w:val="left"/>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rFonts w:ascii="宋体" w:hAnsi="宋体" w:cs="宋体"/>
          <w:b/>
          <w:szCs w:val="21"/>
        </w:rPr>
      </w:pPr>
      <w:r>
        <w:rPr>
          <w:rFonts w:hint="eastAsia" w:ascii="宋体" w:hAnsi="宋体" w:cs="宋体"/>
          <w:b/>
          <w:szCs w:val="21"/>
        </w:rPr>
        <w:t>第十二条   合同生效及其他</w:t>
      </w:r>
    </w:p>
    <w:p>
      <w:pPr>
        <w:spacing w:line="360" w:lineRule="auto"/>
        <w:ind w:firstLine="560"/>
        <w:jc w:val="left"/>
        <w:rPr>
          <w:rFonts w:ascii="宋体" w:hAnsi="宋体" w:cs="宋体"/>
          <w:szCs w:val="21"/>
        </w:rPr>
      </w:pPr>
      <w:r>
        <w:rPr>
          <w:rFonts w:hint="eastAsia" w:ascii="宋体" w:hAnsi="宋体" w:cs="宋体"/>
          <w:szCs w:val="21"/>
        </w:rPr>
        <w:t>1、下列文件均为本合同的组成部分：</w:t>
      </w:r>
    </w:p>
    <w:p>
      <w:pPr>
        <w:spacing w:line="360" w:lineRule="auto"/>
        <w:ind w:firstLine="560"/>
        <w:jc w:val="left"/>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号招标文件、答疑及补充通知；</w:t>
      </w:r>
    </w:p>
    <w:p>
      <w:pPr>
        <w:spacing w:line="360" w:lineRule="auto"/>
        <w:ind w:firstLine="560"/>
        <w:jc w:val="left"/>
        <w:rPr>
          <w:rFonts w:ascii="宋体" w:hAnsi="宋体" w:cs="宋体"/>
          <w:szCs w:val="21"/>
        </w:rPr>
      </w:pPr>
      <w:r>
        <w:rPr>
          <w:rFonts w:hint="eastAsia" w:ascii="宋体" w:hAnsi="宋体" w:cs="宋体"/>
          <w:szCs w:val="21"/>
        </w:rPr>
        <w:t>（2）乙方的投标文件；</w:t>
      </w:r>
    </w:p>
    <w:p>
      <w:pPr>
        <w:spacing w:line="360" w:lineRule="auto"/>
        <w:ind w:firstLine="560"/>
        <w:jc w:val="left"/>
        <w:rPr>
          <w:rFonts w:ascii="宋体" w:hAnsi="宋体" w:cs="宋体"/>
          <w:szCs w:val="21"/>
        </w:rPr>
      </w:pPr>
      <w:r>
        <w:rPr>
          <w:rFonts w:hint="eastAsia" w:ascii="宋体" w:hAnsi="宋体" w:cs="宋体"/>
          <w:szCs w:val="21"/>
        </w:rPr>
        <w:t>（3）本合同执行中甲乙双方共同签署的补充与修正文件。</w:t>
      </w:r>
    </w:p>
    <w:p>
      <w:pPr>
        <w:spacing w:line="360" w:lineRule="auto"/>
        <w:ind w:firstLine="560"/>
        <w:jc w:val="left"/>
        <w:rPr>
          <w:rFonts w:ascii="宋体" w:hAnsi="宋体" w:cs="宋体"/>
          <w:szCs w:val="21"/>
        </w:rPr>
      </w:pPr>
      <w:r>
        <w:rPr>
          <w:rFonts w:hint="eastAsia" w:ascii="宋体" w:hAnsi="宋体" w:cs="宋体"/>
          <w:szCs w:val="21"/>
        </w:rPr>
        <w:t>2、本合同一式</w:t>
      </w:r>
      <w:r>
        <w:rPr>
          <w:rFonts w:hint="eastAsia" w:ascii="宋体" w:hAnsi="宋体" w:cs="宋体"/>
          <w:szCs w:val="21"/>
          <w:u w:val="single"/>
        </w:rPr>
        <w:t xml:space="preserve">     </w:t>
      </w:r>
      <w:r>
        <w:rPr>
          <w:rFonts w:hint="eastAsia" w:ascii="宋体" w:hAnsi="宋体" w:cs="宋体"/>
          <w:szCs w:val="21"/>
        </w:rPr>
        <w:t>份，甲、乙方双方各执</w:t>
      </w:r>
      <w:r>
        <w:rPr>
          <w:rFonts w:hint="eastAsia" w:ascii="宋体" w:hAnsi="宋体" w:cs="宋体"/>
          <w:szCs w:val="21"/>
          <w:u w:val="single"/>
        </w:rPr>
        <w:t xml:space="preserve">     </w:t>
      </w:r>
      <w:r>
        <w:rPr>
          <w:rFonts w:hint="eastAsia" w:ascii="宋体" w:hAnsi="宋体" w:cs="宋体"/>
          <w:szCs w:val="21"/>
        </w:rPr>
        <w:t>份，具有同等法律效力。本合同自双方法定代表人（或授权代表）签字并盖章之日起生效。</w:t>
      </w: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r>
        <w:rPr>
          <w:rFonts w:hint="eastAsia" w:ascii="宋体" w:hAnsi="宋体" w:cs="宋体"/>
          <w:szCs w:val="21"/>
        </w:rPr>
        <w:t>甲方（采购人）：   （盖章）       乙方（供应商）：    （盖章）</w:t>
      </w:r>
    </w:p>
    <w:p>
      <w:pPr>
        <w:spacing w:line="360" w:lineRule="auto"/>
        <w:ind w:firstLine="560"/>
        <w:jc w:val="left"/>
        <w:rPr>
          <w:rFonts w:ascii="宋体" w:hAnsi="宋体" w:cs="宋体"/>
          <w:szCs w:val="21"/>
        </w:rPr>
      </w:pPr>
      <w:r>
        <w:rPr>
          <w:rFonts w:hint="eastAsia" w:ascii="宋体" w:hAnsi="宋体" w:cs="宋体"/>
          <w:szCs w:val="21"/>
        </w:rPr>
        <w:t xml:space="preserve">法定代表人：                     法定代表人： </w:t>
      </w:r>
    </w:p>
    <w:p>
      <w:pPr>
        <w:spacing w:line="360" w:lineRule="auto"/>
        <w:ind w:firstLine="560"/>
        <w:jc w:val="left"/>
        <w:rPr>
          <w:rFonts w:ascii="宋体" w:hAnsi="宋体" w:cs="宋体"/>
          <w:szCs w:val="21"/>
        </w:rPr>
      </w:pPr>
      <w:r>
        <w:rPr>
          <w:rFonts w:hint="eastAsia" w:ascii="宋体" w:hAnsi="宋体" w:cs="宋体"/>
          <w:szCs w:val="21"/>
        </w:rPr>
        <w:t>委托代理人：                     委托代理人：</w:t>
      </w:r>
    </w:p>
    <w:p>
      <w:pPr>
        <w:ind w:firstLine="525" w:firstLineChars="250"/>
        <w:rPr>
          <w:rFonts w:ascii="宋体" w:hAnsi="宋体" w:cs="宋体"/>
          <w:b/>
          <w:szCs w:val="21"/>
        </w:rPr>
      </w:pPr>
      <w:r>
        <w:rPr>
          <w:rFonts w:hint="eastAsia" w:ascii="宋体" w:hAnsi="宋体" w:cs="宋体"/>
          <w:szCs w:val="21"/>
        </w:rPr>
        <w:t>日期：   年     月    日         日期：   年     月    日</w:t>
      </w:r>
    </w:p>
    <w:p>
      <w:pPr>
        <w:rPr>
          <w:rFonts w:ascii="宋体" w:hAnsi="宋体" w:cs="宋体"/>
        </w:rPr>
      </w:pPr>
    </w:p>
    <w:p>
      <w:pPr>
        <w:rPr>
          <w:rFonts w:ascii="宋体" w:hAnsi="宋体" w:cs="宋体"/>
        </w:rPr>
      </w:pPr>
    </w:p>
    <w:sectPr>
      <w:headerReference r:id="rId3" w:type="first"/>
      <w:footerReference r:id="rId4" w:type="default"/>
      <w:footerReference r:id="rId5"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2"/>
      </w:rPr>
    </w:pPr>
    <w:r>
      <w:t xml:space="preserve">- </w:t>
    </w:r>
    <w:r>
      <w:fldChar w:fldCharType="begin"/>
    </w:r>
    <w:r>
      <w:instrText xml:space="preserve"> PAGE </w:instrText>
    </w:r>
    <w:r>
      <w:fldChar w:fldCharType="separate"/>
    </w:r>
    <w:r>
      <w:t>6</w:t>
    </w:r>
    <w:r>
      <w:fldChar w:fldCharType="end"/>
    </w:r>
    <w:r>
      <w:t xml:space="preserve"> -</w:t>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2"/>
      </w:rPr>
    </w:pPr>
    <w:r>
      <w:fldChar w:fldCharType="begin"/>
    </w:r>
    <w:r>
      <w:rPr>
        <w:rStyle w:val="42"/>
      </w:rPr>
      <w:instrText xml:space="preserve">PAGE  </w:instrText>
    </w:r>
    <w:r>
      <w:fldChar w:fldCharType="separate"/>
    </w:r>
    <w:r>
      <w:rPr>
        <w:rStyle w:val="42"/>
      </w:rPr>
      <w:t>17</w:t>
    </w:r>
    <w:r>
      <w:fldChar w:fldCharType="end"/>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315481"/>
    <w:multiLevelType w:val="singleLevel"/>
    <w:tmpl w:val="E8315481"/>
    <w:lvl w:ilvl="0" w:tentative="0">
      <w:start w:val="1"/>
      <w:numFmt w:val="decimal"/>
      <w:lvlText w:val="%1."/>
      <w:lvlJc w:val="left"/>
      <w:pPr>
        <w:tabs>
          <w:tab w:val="left" w:pos="312"/>
        </w:tabs>
      </w:pPr>
    </w:lvl>
  </w:abstractNum>
  <w:abstractNum w:abstractNumId="1">
    <w:nsid w:val="FFFFFF7C"/>
    <w:multiLevelType w:val="singleLevel"/>
    <w:tmpl w:val="FFFFFF7C"/>
    <w:lvl w:ilvl="0" w:tentative="0">
      <w:start w:val="1"/>
      <w:numFmt w:val="decimal"/>
      <w:pStyle w:val="64"/>
      <w:lvlText w:val="%1."/>
      <w:lvlJc w:val="left"/>
      <w:pPr>
        <w:tabs>
          <w:tab w:val="left" w:pos="2040"/>
        </w:tabs>
        <w:ind w:left="2040" w:hanging="360"/>
      </w:pPr>
    </w:lvl>
  </w:abstractNum>
  <w:abstractNum w:abstractNumId="2">
    <w:nsid w:val="FFFFFF89"/>
    <w:multiLevelType w:val="singleLevel"/>
    <w:tmpl w:val="FFFFFF89"/>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3">
    <w:nsid w:val="45882EC0"/>
    <w:multiLevelType w:val="multilevel"/>
    <w:tmpl w:val="45882E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2064AA1"/>
    <w:multiLevelType w:val="multilevel"/>
    <w:tmpl w:val="62064AA1"/>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WZiNGMxZGUxZTA3NzQzMTNhNzk4NjljNmFjZjcifQ=="/>
  </w:docVars>
  <w:rsids>
    <w:rsidRoot w:val="006C5683"/>
    <w:rsid w:val="000003D2"/>
    <w:rsid w:val="00000941"/>
    <w:rsid w:val="0000157A"/>
    <w:rsid w:val="00001AEA"/>
    <w:rsid w:val="00003CC2"/>
    <w:rsid w:val="00005215"/>
    <w:rsid w:val="00005A10"/>
    <w:rsid w:val="00007FA9"/>
    <w:rsid w:val="00010102"/>
    <w:rsid w:val="00010A43"/>
    <w:rsid w:val="0001474D"/>
    <w:rsid w:val="00014F58"/>
    <w:rsid w:val="00015E98"/>
    <w:rsid w:val="0001716B"/>
    <w:rsid w:val="00020A4A"/>
    <w:rsid w:val="00020D99"/>
    <w:rsid w:val="00020EDE"/>
    <w:rsid w:val="000211EA"/>
    <w:rsid w:val="0002320B"/>
    <w:rsid w:val="000234B2"/>
    <w:rsid w:val="0002382E"/>
    <w:rsid w:val="0003072D"/>
    <w:rsid w:val="00031700"/>
    <w:rsid w:val="00031886"/>
    <w:rsid w:val="00031F6E"/>
    <w:rsid w:val="000377F6"/>
    <w:rsid w:val="00040D3C"/>
    <w:rsid w:val="000427D0"/>
    <w:rsid w:val="00043A89"/>
    <w:rsid w:val="00045282"/>
    <w:rsid w:val="00045739"/>
    <w:rsid w:val="00047B02"/>
    <w:rsid w:val="00047EF6"/>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50DC"/>
    <w:rsid w:val="00077188"/>
    <w:rsid w:val="00077CD3"/>
    <w:rsid w:val="00080D6E"/>
    <w:rsid w:val="0008124B"/>
    <w:rsid w:val="00082211"/>
    <w:rsid w:val="00082667"/>
    <w:rsid w:val="00083DC6"/>
    <w:rsid w:val="000869D8"/>
    <w:rsid w:val="00092FC7"/>
    <w:rsid w:val="000954D5"/>
    <w:rsid w:val="000960CF"/>
    <w:rsid w:val="0009618D"/>
    <w:rsid w:val="0009709B"/>
    <w:rsid w:val="000A21E9"/>
    <w:rsid w:val="000A6571"/>
    <w:rsid w:val="000B05E2"/>
    <w:rsid w:val="000B2568"/>
    <w:rsid w:val="000B381C"/>
    <w:rsid w:val="000B4591"/>
    <w:rsid w:val="000B4944"/>
    <w:rsid w:val="000B6961"/>
    <w:rsid w:val="000B6B59"/>
    <w:rsid w:val="000C0173"/>
    <w:rsid w:val="000C1EE4"/>
    <w:rsid w:val="000C2446"/>
    <w:rsid w:val="000C3D9C"/>
    <w:rsid w:val="000C4425"/>
    <w:rsid w:val="000C5958"/>
    <w:rsid w:val="000C70F7"/>
    <w:rsid w:val="000D1A7D"/>
    <w:rsid w:val="000D1ABF"/>
    <w:rsid w:val="000D2309"/>
    <w:rsid w:val="000D237D"/>
    <w:rsid w:val="000D38F9"/>
    <w:rsid w:val="000D4CFC"/>
    <w:rsid w:val="000E0227"/>
    <w:rsid w:val="000E4690"/>
    <w:rsid w:val="000E4DE8"/>
    <w:rsid w:val="000E6596"/>
    <w:rsid w:val="000F2065"/>
    <w:rsid w:val="000F294F"/>
    <w:rsid w:val="000F2A88"/>
    <w:rsid w:val="000F2D1B"/>
    <w:rsid w:val="000F565B"/>
    <w:rsid w:val="000F57E4"/>
    <w:rsid w:val="000F5F3F"/>
    <w:rsid w:val="00101A77"/>
    <w:rsid w:val="00101DD0"/>
    <w:rsid w:val="00102555"/>
    <w:rsid w:val="001047E8"/>
    <w:rsid w:val="00104845"/>
    <w:rsid w:val="001075B1"/>
    <w:rsid w:val="001076CD"/>
    <w:rsid w:val="00107D54"/>
    <w:rsid w:val="00111A14"/>
    <w:rsid w:val="00115A55"/>
    <w:rsid w:val="00117FFE"/>
    <w:rsid w:val="001205BC"/>
    <w:rsid w:val="001208AF"/>
    <w:rsid w:val="001212EF"/>
    <w:rsid w:val="001217DC"/>
    <w:rsid w:val="0012203F"/>
    <w:rsid w:val="00122A2A"/>
    <w:rsid w:val="00122EAA"/>
    <w:rsid w:val="00123CC6"/>
    <w:rsid w:val="00124E2E"/>
    <w:rsid w:val="00125C8A"/>
    <w:rsid w:val="00130808"/>
    <w:rsid w:val="00130827"/>
    <w:rsid w:val="001308A2"/>
    <w:rsid w:val="00132F55"/>
    <w:rsid w:val="001342FB"/>
    <w:rsid w:val="00134AF9"/>
    <w:rsid w:val="00134B47"/>
    <w:rsid w:val="00134D6D"/>
    <w:rsid w:val="00136675"/>
    <w:rsid w:val="0013675A"/>
    <w:rsid w:val="00136CD0"/>
    <w:rsid w:val="00141C34"/>
    <w:rsid w:val="00141F37"/>
    <w:rsid w:val="00142FE7"/>
    <w:rsid w:val="00143653"/>
    <w:rsid w:val="00143B3A"/>
    <w:rsid w:val="001446E6"/>
    <w:rsid w:val="0014770B"/>
    <w:rsid w:val="00147B3F"/>
    <w:rsid w:val="00147C15"/>
    <w:rsid w:val="001516CD"/>
    <w:rsid w:val="00152890"/>
    <w:rsid w:val="00153E64"/>
    <w:rsid w:val="00157E23"/>
    <w:rsid w:val="00157FC3"/>
    <w:rsid w:val="001611FB"/>
    <w:rsid w:val="00161C84"/>
    <w:rsid w:val="00161D0D"/>
    <w:rsid w:val="001626BD"/>
    <w:rsid w:val="00164E23"/>
    <w:rsid w:val="0016595F"/>
    <w:rsid w:val="00166A2C"/>
    <w:rsid w:val="00167BAC"/>
    <w:rsid w:val="00177167"/>
    <w:rsid w:val="0017741C"/>
    <w:rsid w:val="00180FCF"/>
    <w:rsid w:val="00181E4F"/>
    <w:rsid w:val="00183C79"/>
    <w:rsid w:val="00183C8B"/>
    <w:rsid w:val="00183E75"/>
    <w:rsid w:val="001845CF"/>
    <w:rsid w:val="001865BB"/>
    <w:rsid w:val="00187518"/>
    <w:rsid w:val="00187941"/>
    <w:rsid w:val="00192B89"/>
    <w:rsid w:val="00194FD4"/>
    <w:rsid w:val="00196B4E"/>
    <w:rsid w:val="001A027A"/>
    <w:rsid w:val="001A0D2C"/>
    <w:rsid w:val="001A1544"/>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2E6"/>
    <w:rsid w:val="001F0349"/>
    <w:rsid w:val="001F0B74"/>
    <w:rsid w:val="001F4EB8"/>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12D1"/>
    <w:rsid w:val="00222261"/>
    <w:rsid w:val="002237D3"/>
    <w:rsid w:val="00227D49"/>
    <w:rsid w:val="00227FC7"/>
    <w:rsid w:val="00233992"/>
    <w:rsid w:val="002368D8"/>
    <w:rsid w:val="00236E72"/>
    <w:rsid w:val="002372F4"/>
    <w:rsid w:val="00243781"/>
    <w:rsid w:val="00246CCD"/>
    <w:rsid w:val="00246E71"/>
    <w:rsid w:val="00250F42"/>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3278"/>
    <w:rsid w:val="00275641"/>
    <w:rsid w:val="002762AC"/>
    <w:rsid w:val="00280B41"/>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3EC8"/>
    <w:rsid w:val="002D45BF"/>
    <w:rsid w:val="002D4A85"/>
    <w:rsid w:val="002D5A15"/>
    <w:rsid w:val="002D64DF"/>
    <w:rsid w:val="002D73CE"/>
    <w:rsid w:val="002E38DB"/>
    <w:rsid w:val="002E5251"/>
    <w:rsid w:val="002E6681"/>
    <w:rsid w:val="002E6AC9"/>
    <w:rsid w:val="002E6F48"/>
    <w:rsid w:val="002E7B71"/>
    <w:rsid w:val="002E7BA1"/>
    <w:rsid w:val="002F2B7A"/>
    <w:rsid w:val="002F3105"/>
    <w:rsid w:val="002F379C"/>
    <w:rsid w:val="002F4205"/>
    <w:rsid w:val="002F5836"/>
    <w:rsid w:val="002F5892"/>
    <w:rsid w:val="002F72FF"/>
    <w:rsid w:val="0030110E"/>
    <w:rsid w:val="00301A86"/>
    <w:rsid w:val="0030463E"/>
    <w:rsid w:val="00304712"/>
    <w:rsid w:val="00304ED6"/>
    <w:rsid w:val="0030529D"/>
    <w:rsid w:val="00306285"/>
    <w:rsid w:val="00307223"/>
    <w:rsid w:val="00312115"/>
    <w:rsid w:val="00313197"/>
    <w:rsid w:val="003152A5"/>
    <w:rsid w:val="00315A06"/>
    <w:rsid w:val="00317D6E"/>
    <w:rsid w:val="00322121"/>
    <w:rsid w:val="003225FB"/>
    <w:rsid w:val="00323A7C"/>
    <w:rsid w:val="00323C32"/>
    <w:rsid w:val="00324A1D"/>
    <w:rsid w:val="00325742"/>
    <w:rsid w:val="00327AB3"/>
    <w:rsid w:val="00327B81"/>
    <w:rsid w:val="00330AFF"/>
    <w:rsid w:val="003324F3"/>
    <w:rsid w:val="00334105"/>
    <w:rsid w:val="00335992"/>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7BE4"/>
    <w:rsid w:val="00380094"/>
    <w:rsid w:val="00383071"/>
    <w:rsid w:val="003837F4"/>
    <w:rsid w:val="003846D9"/>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7D88"/>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47DE"/>
    <w:rsid w:val="003E5075"/>
    <w:rsid w:val="003E62BA"/>
    <w:rsid w:val="003F09CB"/>
    <w:rsid w:val="003F10D3"/>
    <w:rsid w:val="003F12FF"/>
    <w:rsid w:val="003F1548"/>
    <w:rsid w:val="003F2451"/>
    <w:rsid w:val="003F2B3D"/>
    <w:rsid w:val="003F3105"/>
    <w:rsid w:val="003F4172"/>
    <w:rsid w:val="003F4249"/>
    <w:rsid w:val="003F5086"/>
    <w:rsid w:val="003F550A"/>
    <w:rsid w:val="003F6612"/>
    <w:rsid w:val="003F6ECC"/>
    <w:rsid w:val="004017FE"/>
    <w:rsid w:val="00403364"/>
    <w:rsid w:val="0040415C"/>
    <w:rsid w:val="00405449"/>
    <w:rsid w:val="0040679C"/>
    <w:rsid w:val="00407FD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7B77"/>
    <w:rsid w:val="0045135E"/>
    <w:rsid w:val="00452278"/>
    <w:rsid w:val="00453062"/>
    <w:rsid w:val="00454597"/>
    <w:rsid w:val="004548E6"/>
    <w:rsid w:val="0045543A"/>
    <w:rsid w:val="004561F9"/>
    <w:rsid w:val="0045637C"/>
    <w:rsid w:val="004627B7"/>
    <w:rsid w:val="00463703"/>
    <w:rsid w:val="004673E0"/>
    <w:rsid w:val="00470418"/>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A30"/>
    <w:rsid w:val="004C3E02"/>
    <w:rsid w:val="004C3E9C"/>
    <w:rsid w:val="004C422D"/>
    <w:rsid w:val="004C4CEB"/>
    <w:rsid w:val="004C5CF1"/>
    <w:rsid w:val="004C6D8E"/>
    <w:rsid w:val="004D000F"/>
    <w:rsid w:val="004D40AF"/>
    <w:rsid w:val="004D4AE0"/>
    <w:rsid w:val="004D5B11"/>
    <w:rsid w:val="004D62FD"/>
    <w:rsid w:val="004D7BF4"/>
    <w:rsid w:val="004D7C92"/>
    <w:rsid w:val="004E0A5F"/>
    <w:rsid w:val="004E0E95"/>
    <w:rsid w:val="004E38B2"/>
    <w:rsid w:val="004E3936"/>
    <w:rsid w:val="004E57F7"/>
    <w:rsid w:val="004E5D9C"/>
    <w:rsid w:val="004E6B8E"/>
    <w:rsid w:val="004F0543"/>
    <w:rsid w:val="004F0FE2"/>
    <w:rsid w:val="004F114F"/>
    <w:rsid w:val="00500F7A"/>
    <w:rsid w:val="005012AD"/>
    <w:rsid w:val="005027BB"/>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AD7"/>
    <w:rsid w:val="005262B3"/>
    <w:rsid w:val="00526CFF"/>
    <w:rsid w:val="005274F8"/>
    <w:rsid w:val="00531F39"/>
    <w:rsid w:val="00533920"/>
    <w:rsid w:val="0053480E"/>
    <w:rsid w:val="00535324"/>
    <w:rsid w:val="0053558A"/>
    <w:rsid w:val="005371C4"/>
    <w:rsid w:val="0054216F"/>
    <w:rsid w:val="00542B78"/>
    <w:rsid w:val="00542F18"/>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310A"/>
    <w:rsid w:val="005664C7"/>
    <w:rsid w:val="00570C98"/>
    <w:rsid w:val="00571D59"/>
    <w:rsid w:val="00572E3E"/>
    <w:rsid w:val="0057420B"/>
    <w:rsid w:val="00580280"/>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5171"/>
    <w:rsid w:val="005A5847"/>
    <w:rsid w:val="005A63D8"/>
    <w:rsid w:val="005A73D7"/>
    <w:rsid w:val="005A7DBE"/>
    <w:rsid w:val="005B1BE7"/>
    <w:rsid w:val="005B3606"/>
    <w:rsid w:val="005B49B6"/>
    <w:rsid w:val="005B7733"/>
    <w:rsid w:val="005B7A22"/>
    <w:rsid w:val="005C0602"/>
    <w:rsid w:val="005C0C9E"/>
    <w:rsid w:val="005C0CBB"/>
    <w:rsid w:val="005C2A8B"/>
    <w:rsid w:val="005C2E28"/>
    <w:rsid w:val="005C40C7"/>
    <w:rsid w:val="005C6022"/>
    <w:rsid w:val="005C6150"/>
    <w:rsid w:val="005C6747"/>
    <w:rsid w:val="005D097F"/>
    <w:rsid w:val="005D1D9F"/>
    <w:rsid w:val="005D42B4"/>
    <w:rsid w:val="005D4CF7"/>
    <w:rsid w:val="005D5347"/>
    <w:rsid w:val="005D570F"/>
    <w:rsid w:val="005D5CC5"/>
    <w:rsid w:val="005D6732"/>
    <w:rsid w:val="005D787B"/>
    <w:rsid w:val="005E0745"/>
    <w:rsid w:val="005E0F87"/>
    <w:rsid w:val="005E12BE"/>
    <w:rsid w:val="005E3DF8"/>
    <w:rsid w:val="005E505E"/>
    <w:rsid w:val="005F0215"/>
    <w:rsid w:val="005F1CD5"/>
    <w:rsid w:val="005F2EA8"/>
    <w:rsid w:val="005F3322"/>
    <w:rsid w:val="005F3751"/>
    <w:rsid w:val="005F4136"/>
    <w:rsid w:val="005F446D"/>
    <w:rsid w:val="005F45EF"/>
    <w:rsid w:val="005F48D8"/>
    <w:rsid w:val="005F5A76"/>
    <w:rsid w:val="005F64C6"/>
    <w:rsid w:val="005F77FC"/>
    <w:rsid w:val="006008F1"/>
    <w:rsid w:val="00601293"/>
    <w:rsid w:val="00601735"/>
    <w:rsid w:val="0060244B"/>
    <w:rsid w:val="00602BD2"/>
    <w:rsid w:val="00605DAE"/>
    <w:rsid w:val="006064ED"/>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80936"/>
    <w:rsid w:val="00680D8C"/>
    <w:rsid w:val="00682725"/>
    <w:rsid w:val="00683705"/>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4547"/>
    <w:rsid w:val="006B6F32"/>
    <w:rsid w:val="006B7130"/>
    <w:rsid w:val="006C0271"/>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57CB"/>
    <w:rsid w:val="006D6CDD"/>
    <w:rsid w:val="006D6DC0"/>
    <w:rsid w:val="006E044C"/>
    <w:rsid w:val="006E2A89"/>
    <w:rsid w:val="006E4238"/>
    <w:rsid w:val="006E7B97"/>
    <w:rsid w:val="006E7D23"/>
    <w:rsid w:val="006F42DE"/>
    <w:rsid w:val="006F62F4"/>
    <w:rsid w:val="006F6798"/>
    <w:rsid w:val="006F6D4C"/>
    <w:rsid w:val="006F6E67"/>
    <w:rsid w:val="006F7157"/>
    <w:rsid w:val="006F78E0"/>
    <w:rsid w:val="00701CF4"/>
    <w:rsid w:val="00702B1B"/>
    <w:rsid w:val="00702D35"/>
    <w:rsid w:val="00704164"/>
    <w:rsid w:val="00706A58"/>
    <w:rsid w:val="007110E1"/>
    <w:rsid w:val="00712FC5"/>
    <w:rsid w:val="00714394"/>
    <w:rsid w:val="00720EAA"/>
    <w:rsid w:val="00721F7E"/>
    <w:rsid w:val="00722E29"/>
    <w:rsid w:val="00724606"/>
    <w:rsid w:val="00724E85"/>
    <w:rsid w:val="007254AF"/>
    <w:rsid w:val="007255BA"/>
    <w:rsid w:val="00727583"/>
    <w:rsid w:val="00730073"/>
    <w:rsid w:val="00730DDD"/>
    <w:rsid w:val="00731DE8"/>
    <w:rsid w:val="00734887"/>
    <w:rsid w:val="007365B6"/>
    <w:rsid w:val="007401E2"/>
    <w:rsid w:val="007411E5"/>
    <w:rsid w:val="00746951"/>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47E"/>
    <w:rsid w:val="0077477A"/>
    <w:rsid w:val="00775DD4"/>
    <w:rsid w:val="007770B9"/>
    <w:rsid w:val="00780D88"/>
    <w:rsid w:val="007840F3"/>
    <w:rsid w:val="00785491"/>
    <w:rsid w:val="007858C0"/>
    <w:rsid w:val="0078679A"/>
    <w:rsid w:val="00790739"/>
    <w:rsid w:val="00792447"/>
    <w:rsid w:val="00792D96"/>
    <w:rsid w:val="00794A05"/>
    <w:rsid w:val="0079694C"/>
    <w:rsid w:val="00796DBD"/>
    <w:rsid w:val="007A1B8C"/>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2827"/>
    <w:rsid w:val="007C28E5"/>
    <w:rsid w:val="007C3858"/>
    <w:rsid w:val="007C3A26"/>
    <w:rsid w:val="007C74E5"/>
    <w:rsid w:val="007D0E43"/>
    <w:rsid w:val="007D13E7"/>
    <w:rsid w:val="007D143E"/>
    <w:rsid w:val="007D1D08"/>
    <w:rsid w:val="007D1E37"/>
    <w:rsid w:val="007D336F"/>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D4E"/>
    <w:rsid w:val="00822E46"/>
    <w:rsid w:val="00823B4E"/>
    <w:rsid w:val="008249B0"/>
    <w:rsid w:val="008268A1"/>
    <w:rsid w:val="00826D8D"/>
    <w:rsid w:val="00826F4C"/>
    <w:rsid w:val="0082747A"/>
    <w:rsid w:val="00830A24"/>
    <w:rsid w:val="00832596"/>
    <w:rsid w:val="00833014"/>
    <w:rsid w:val="008377DA"/>
    <w:rsid w:val="0084080A"/>
    <w:rsid w:val="00841D8A"/>
    <w:rsid w:val="00841E74"/>
    <w:rsid w:val="008441F8"/>
    <w:rsid w:val="00844959"/>
    <w:rsid w:val="00845810"/>
    <w:rsid w:val="00845A15"/>
    <w:rsid w:val="0084632F"/>
    <w:rsid w:val="008503E6"/>
    <w:rsid w:val="00852A1F"/>
    <w:rsid w:val="00853F8C"/>
    <w:rsid w:val="00855B06"/>
    <w:rsid w:val="00857D29"/>
    <w:rsid w:val="008629A8"/>
    <w:rsid w:val="00862DB5"/>
    <w:rsid w:val="0086605D"/>
    <w:rsid w:val="0087026D"/>
    <w:rsid w:val="00870CB6"/>
    <w:rsid w:val="00873FA1"/>
    <w:rsid w:val="00873FEA"/>
    <w:rsid w:val="0087419B"/>
    <w:rsid w:val="00874592"/>
    <w:rsid w:val="00877B47"/>
    <w:rsid w:val="00880054"/>
    <w:rsid w:val="008807EE"/>
    <w:rsid w:val="00880C81"/>
    <w:rsid w:val="0088164D"/>
    <w:rsid w:val="008818F6"/>
    <w:rsid w:val="0088384C"/>
    <w:rsid w:val="0088398E"/>
    <w:rsid w:val="00884C0D"/>
    <w:rsid w:val="00885248"/>
    <w:rsid w:val="00885E38"/>
    <w:rsid w:val="00887E02"/>
    <w:rsid w:val="00890711"/>
    <w:rsid w:val="008909F3"/>
    <w:rsid w:val="00891CCE"/>
    <w:rsid w:val="00893479"/>
    <w:rsid w:val="00896E9D"/>
    <w:rsid w:val="008A1C47"/>
    <w:rsid w:val="008A3CC0"/>
    <w:rsid w:val="008A5290"/>
    <w:rsid w:val="008A593A"/>
    <w:rsid w:val="008A6C5A"/>
    <w:rsid w:val="008B0EAD"/>
    <w:rsid w:val="008B1718"/>
    <w:rsid w:val="008B2DF3"/>
    <w:rsid w:val="008B3403"/>
    <w:rsid w:val="008B376A"/>
    <w:rsid w:val="008B3F57"/>
    <w:rsid w:val="008B40F0"/>
    <w:rsid w:val="008B49BE"/>
    <w:rsid w:val="008B4F55"/>
    <w:rsid w:val="008B5559"/>
    <w:rsid w:val="008B7220"/>
    <w:rsid w:val="008C031A"/>
    <w:rsid w:val="008C08A5"/>
    <w:rsid w:val="008C479C"/>
    <w:rsid w:val="008C5D3D"/>
    <w:rsid w:val="008C64E3"/>
    <w:rsid w:val="008C661F"/>
    <w:rsid w:val="008C6D2C"/>
    <w:rsid w:val="008C7883"/>
    <w:rsid w:val="008D044B"/>
    <w:rsid w:val="008D0D1E"/>
    <w:rsid w:val="008D571F"/>
    <w:rsid w:val="008D5722"/>
    <w:rsid w:val="008D6840"/>
    <w:rsid w:val="008D704D"/>
    <w:rsid w:val="008E1E54"/>
    <w:rsid w:val="008E3C88"/>
    <w:rsid w:val="008E4592"/>
    <w:rsid w:val="008E6C27"/>
    <w:rsid w:val="008E78F2"/>
    <w:rsid w:val="008E792D"/>
    <w:rsid w:val="008F022C"/>
    <w:rsid w:val="008F0E05"/>
    <w:rsid w:val="008F141E"/>
    <w:rsid w:val="009010F1"/>
    <w:rsid w:val="00906619"/>
    <w:rsid w:val="00907B8B"/>
    <w:rsid w:val="009155B9"/>
    <w:rsid w:val="00915CE3"/>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40F71"/>
    <w:rsid w:val="00940FC3"/>
    <w:rsid w:val="0094131D"/>
    <w:rsid w:val="009418AB"/>
    <w:rsid w:val="00942120"/>
    <w:rsid w:val="00942316"/>
    <w:rsid w:val="009425F7"/>
    <w:rsid w:val="009427CF"/>
    <w:rsid w:val="00943563"/>
    <w:rsid w:val="00944BC7"/>
    <w:rsid w:val="00944BF0"/>
    <w:rsid w:val="00946136"/>
    <w:rsid w:val="009532DB"/>
    <w:rsid w:val="00954282"/>
    <w:rsid w:val="00954427"/>
    <w:rsid w:val="00954F10"/>
    <w:rsid w:val="00955F46"/>
    <w:rsid w:val="00956C2F"/>
    <w:rsid w:val="00957B24"/>
    <w:rsid w:val="00964567"/>
    <w:rsid w:val="00965E11"/>
    <w:rsid w:val="0096797D"/>
    <w:rsid w:val="00973179"/>
    <w:rsid w:val="00975595"/>
    <w:rsid w:val="00975C75"/>
    <w:rsid w:val="009761DE"/>
    <w:rsid w:val="00977D14"/>
    <w:rsid w:val="0098177A"/>
    <w:rsid w:val="00983EFD"/>
    <w:rsid w:val="00986257"/>
    <w:rsid w:val="00986861"/>
    <w:rsid w:val="00987BF5"/>
    <w:rsid w:val="00987CBC"/>
    <w:rsid w:val="00990904"/>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729E"/>
    <w:rsid w:val="009B7498"/>
    <w:rsid w:val="009B7ED4"/>
    <w:rsid w:val="009C145E"/>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BEA"/>
    <w:rsid w:val="00A34C81"/>
    <w:rsid w:val="00A34E19"/>
    <w:rsid w:val="00A36BD5"/>
    <w:rsid w:val="00A37554"/>
    <w:rsid w:val="00A40D0C"/>
    <w:rsid w:val="00A41302"/>
    <w:rsid w:val="00A41C59"/>
    <w:rsid w:val="00A41C6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3642"/>
    <w:rsid w:val="00A738EF"/>
    <w:rsid w:val="00A7588B"/>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969"/>
    <w:rsid w:val="00A96FC6"/>
    <w:rsid w:val="00A971D5"/>
    <w:rsid w:val="00A97B61"/>
    <w:rsid w:val="00AA01DA"/>
    <w:rsid w:val="00AA0F42"/>
    <w:rsid w:val="00AA450C"/>
    <w:rsid w:val="00AA587A"/>
    <w:rsid w:val="00AA60B6"/>
    <w:rsid w:val="00AA7247"/>
    <w:rsid w:val="00AB1287"/>
    <w:rsid w:val="00AB1CE8"/>
    <w:rsid w:val="00AB5846"/>
    <w:rsid w:val="00AB6DFC"/>
    <w:rsid w:val="00AB6F7D"/>
    <w:rsid w:val="00AB7706"/>
    <w:rsid w:val="00AC3DB7"/>
    <w:rsid w:val="00AC57D2"/>
    <w:rsid w:val="00AC7899"/>
    <w:rsid w:val="00AD27FC"/>
    <w:rsid w:val="00AD3229"/>
    <w:rsid w:val="00AD5A40"/>
    <w:rsid w:val="00AD752F"/>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B91"/>
    <w:rsid w:val="00B07625"/>
    <w:rsid w:val="00B077CC"/>
    <w:rsid w:val="00B12FD0"/>
    <w:rsid w:val="00B1482F"/>
    <w:rsid w:val="00B15A4C"/>
    <w:rsid w:val="00B15BB2"/>
    <w:rsid w:val="00B229BE"/>
    <w:rsid w:val="00B244A7"/>
    <w:rsid w:val="00B27A6D"/>
    <w:rsid w:val="00B33101"/>
    <w:rsid w:val="00B348C1"/>
    <w:rsid w:val="00B34C4E"/>
    <w:rsid w:val="00B41410"/>
    <w:rsid w:val="00B42C20"/>
    <w:rsid w:val="00B42D9A"/>
    <w:rsid w:val="00B43CED"/>
    <w:rsid w:val="00B448BB"/>
    <w:rsid w:val="00B45928"/>
    <w:rsid w:val="00B459A7"/>
    <w:rsid w:val="00B47348"/>
    <w:rsid w:val="00B51A1D"/>
    <w:rsid w:val="00B537DF"/>
    <w:rsid w:val="00B539EB"/>
    <w:rsid w:val="00B5495B"/>
    <w:rsid w:val="00B55424"/>
    <w:rsid w:val="00B562E6"/>
    <w:rsid w:val="00B564E9"/>
    <w:rsid w:val="00B576E1"/>
    <w:rsid w:val="00B6004E"/>
    <w:rsid w:val="00B608F1"/>
    <w:rsid w:val="00B60F79"/>
    <w:rsid w:val="00B61B49"/>
    <w:rsid w:val="00B6213E"/>
    <w:rsid w:val="00B63B4A"/>
    <w:rsid w:val="00B64778"/>
    <w:rsid w:val="00B673CA"/>
    <w:rsid w:val="00B6741B"/>
    <w:rsid w:val="00B6753E"/>
    <w:rsid w:val="00B67652"/>
    <w:rsid w:val="00B7117A"/>
    <w:rsid w:val="00B72053"/>
    <w:rsid w:val="00B7471D"/>
    <w:rsid w:val="00B75D3F"/>
    <w:rsid w:val="00B77723"/>
    <w:rsid w:val="00B815D3"/>
    <w:rsid w:val="00B83476"/>
    <w:rsid w:val="00B843A1"/>
    <w:rsid w:val="00B84DA1"/>
    <w:rsid w:val="00B8748B"/>
    <w:rsid w:val="00B87F00"/>
    <w:rsid w:val="00B903FB"/>
    <w:rsid w:val="00B906A7"/>
    <w:rsid w:val="00B90C61"/>
    <w:rsid w:val="00B91818"/>
    <w:rsid w:val="00B93170"/>
    <w:rsid w:val="00B94BE5"/>
    <w:rsid w:val="00BA075F"/>
    <w:rsid w:val="00BA0A76"/>
    <w:rsid w:val="00BA0FA7"/>
    <w:rsid w:val="00BA10CE"/>
    <w:rsid w:val="00BA59BA"/>
    <w:rsid w:val="00BB0423"/>
    <w:rsid w:val="00BB1613"/>
    <w:rsid w:val="00BB3396"/>
    <w:rsid w:val="00BB6593"/>
    <w:rsid w:val="00BB6ECF"/>
    <w:rsid w:val="00BB74B3"/>
    <w:rsid w:val="00BB777A"/>
    <w:rsid w:val="00BC1765"/>
    <w:rsid w:val="00BC2B2C"/>
    <w:rsid w:val="00BC47D8"/>
    <w:rsid w:val="00BC5454"/>
    <w:rsid w:val="00BD16D1"/>
    <w:rsid w:val="00BD219A"/>
    <w:rsid w:val="00BD2539"/>
    <w:rsid w:val="00BD2C42"/>
    <w:rsid w:val="00BD2ED2"/>
    <w:rsid w:val="00BD4A96"/>
    <w:rsid w:val="00BD5BB1"/>
    <w:rsid w:val="00BD65E1"/>
    <w:rsid w:val="00BD6EF9"/>
    <w:rsid w:val="00BD754C"/>
    <w:rsid w:val="00BD7746"/>
    <w:rsid w:val="00BE0F79"/>
    <w:rsid w:val="00BE1034"/>
    <w:rsid w:val="00BE2AB1"/>
    <w:rsid w:val="00BE4991"/>
    <w:rsid w:val="00BE5B8D"/>
    <w:rsid w:val="00BE72FD"/>
    <w:rsid w:val="00BE786F"/>
    <w:rsid w:val="00BF1728"/>
    <w:rsid w:val="00BF1EF8"/>
    <w:rsid w:val="00BF228D"/>
    <w:rsid w:val="00BF2763"/>
    <w:rsid w:val="00BF2DE5"/>
    <w:rsid w:val="00BF4C49"/>
    <w:rsid w:val="00BF6338"/>
    <w:rsid w:val="00BF6588"/>
    <w:rsid w:val="00BF6D56"/>
    <w:rsid w:val="00BF7CA3"/>
    <w:rsid w:val="00C00D03"/>
    <w:rsid w:val="00C01DFC"/>
    <w:rsid w:val="00C0282B"/>
    <w:rsid w:val="00C050A6"/>
    <w:rsid w:val="00C067E0"/>
    <w:rsid w:val="00C078F8"/>
    <w:rsid w:val="00C1025D"/>
    <w:rsid w:val="00C1283E"/>
    <w:rsid w:val="00C12D93"/>
    <w:rsid w:val="00C12EE2"/>
    <w:rsid w:val="00C13419"/>
    <w:rsid w:val="00C139DE"/>
    <w:rsid w:val="00C13B55"/>
    <w:rsid w:val="00C161C5"/>
    <w:rsid w:val="00C165CD"/>
    <w:rsid w:val="00C16A4A"/>
    <w:rsid w:val="00C206F8"/>
    <w:rsid w:val="00C21A06"/>
    <w:rsid w:val="00C22648"/>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7D6"/>
    <w:rsid w:val="00C43BCF"/>
    <w:rsid w:val="00C450A4"/>
    <w:rsid w:val="00C45350"/>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44"/>
    <w:rsid w:val="00C674F7"/>
    <w:rsid w:val="00C70244"/>
    <w:rsid w:val="00C71735"/>
    <w:rsid w:val="00C717CD"/>
    <w:rsid w:val="00C72E94"/>
    <w:rsid w:val="00C745D7"/>
    <w:rsid w:val="00C74B2C"/>
    <w:rsid w:val="00C755C8"/>
    <w:rsid w:val="00C763A0"/>
    <w:rsid w:val="00C7702A"/>
    <w:rsid w:val="00C773C8"/>
    <w:rsid w:val="00C80A25"/>
    <w:rsid w:val="00C81DF7"/>
    <w:rsid w:val="00C82930"/>
    <w:rsid w:val="00C83511"/>
    <w:rsid w:val="00C852A5"/>
    <w:rsid w:val="00C8531E"/>
    <w:rsid w:val="00C85B6C"/>
    <w:rsid w:val="00C86BFE"/>
    <w:rsid w:val="00C86D8A"/>
    <w:rsid w:val="00C900B0"/>
    <w:rsid w:val="00C90231"/>
    <w:rsid w:val="00C9080B"/>
    <w:rsid w:val="00C90EF9"/>
    <w:rsid w:val="00C92714"/>
    <w:rsid w:val="00C92949"/>
    <w:rsid w:val="00C9312F"/>
    <w:rsid w:val="00C941A5"/>
    <w:rsid w:val="00C94AD2"/>
    <w:rsid w:val="00C95ED6"/>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A32"/>
    <w:rsid w:val="00CF039E"/>
    <w:rsid w:val="00CF171F"/>
    <w:rsid w:val="00CF20D6"/>
    <w:rsid w:val="00CF35B2"/>
    <w:rsid w:val="00CF38D4"/>
    <w:rsid w:val="00CF3D20"/>
    <w:rsid w:val="00CF42A7"/>
    <w:rsid w:val="00CF6BB9"/>
    <w:rsid w:val="00CF6FD8"/>
    <w:rsid w:val="00D012E2"/>
    <w:rsid w:val="00D0316E"/>
    <w:rsid w:val="00D03F31"/>
    <w:rsid w:val="00D0407C"/>
    <w:rsid w:val="00D045FD"/>
    <w:rsid w:val="00D04A97"/>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109"/>
    <w:rsid w:val="00D4707E"/>
    <w:rsid w:val="00D47867"/>
    <w:rsid w:val="00D47EAF"/>
    <w:rsid w:val="00D47FDC"/>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26E"/>
    <w:rsid w:val="00D66697"/>
    <w:rsid w:val="00D67684"/>
    <w:rsid w:val="00D67ACA"/>
    <w:rsid w:val="00D67F69"/>
    <w:rsid w:val="00D70737"/>
    <w:rsid w:val="00D71103"/>
    <w:rsid w:val="00D72420"/>
    <w:rsid w:val="00D73AF1"/>
    <w:rsid w:val="00D74504"/>
    <w:rsid w:val="00D74639"/>
    <w:rsid w:val="00D74E9D"/>
    <w:rsid w:val="00D8093F"/>
    <w:rsid w:val="00D809B7"/>
    <w:rsid w:val="00D813B0"/>
    <w:rsid w:val="00D81A57"/>
    <w:rsid w:val="00D82A4C"/>
    <w:rsid w:val="00D83019"/>
    <w:rsid w:val="00D844E7"/>
    <w:rsid w:val="00D85683"/>
    <w:rsid w:val="00D87E48"/>
    <w:rsid w:val="00D90435"/>
    <w:rsid w:val="00D90F8A"/>
    <w:rsid w:val="00D91621"/>
    <w:rsid w:val="00D9553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717F"/>
    <w:rsid w:val="00DC77BF"/>
    <w:rsid w:val="00DC7E69"/>
    <w:rsid w:val="00DD0302"/>
    <w:rsid w:val="00DD3308"/>
    <w:rsid w:val="00DD3316"/>
    <w:rsid w:val="00DD3463"/>
    <w:rsid w:val="00DD38FE"/>
    <w:rsid w:val="00DD4C67"/>
    <w:rsid w:val="00DD5ADD"/>
    <w:rsid w:val="00DD5E57"/>
    <w:rsid w:val="00DD6F16"/>
    <w:rsid w:val="00DE3385"/>
    <w:rsid w:val="00DE4638"/>
    <w:rsid w:val="00DE4651"/>
    <w:rsid w:val="00DE7265"/>
    <w:rsid w:val="00DE7525"/>
    <w:rsid w:val="00DF1791"/>
    <w:rsid w:val="00DF2353"/>
    <w:rsid w:val="00DF2FC3"/>
    <w:rsid w:val="00DF3AB2"/>
    <w:rsid w:val="00DF67A1"/>
    <w:rsid w:val="00E00898"/>
    <w:rsid w:val="00E03398"/>
    <w:rsid w:val="00E040D7"/>
    <w:rsid w:val="00E0628E"/>
    <w:rsid w:val="00E06460"/>
    <w:rsid w:val="00E073CF"/>
    <w:rsid w:val="00E108FD"/>
    <w:rsid w:val="00E14BCA"/>
    <w:rsid w:val="00E14EE9"/>
    <w:rsid w:val="00E1605A"/>
    <w:rsid w:val="00E1659D"/>
    <w:rsid w:val="00E17F53"/>
    <w:rsid w:val="00E24195"/>
    <w:rsid w:val="00E25124"/>
    <w:rsid w:val="00E25239"/>
    <w:rsid w:val="00E261F8"/>
    <w:rsid w:val="00E2637D"/>
    <w:rsid w:val="00E26711"/>
    <w:rsid w:val="00E27467"/>
    <w:rsid w:val="00E30C51"/>
    <w:rsid w:val="00E324AD"/>
    <w:rsid w:val="00E32C3A"/>
    <w:rsid w:val="00E3342D"/>
    <w:rsid w:val="00E33683"/>
    <w:rsid w:val="00E33734"/>
    <w:rsid w:val="00E3601E"/>
    <w:rsid w:val="00E36F56"/>
    <w:rsid w:val="00E40AEB"/>
    <w:rsid w:val="00E422C4"/>
    <w:rsid w:val="00E439F8"/>
    <w:rsid w:val="00E44467"/>
    <w:rsid w:val="00E44C54"/>
    <w:rsid w:val="00E44CD4"/>
    <w:rsid w:val="00E45B91"/>
    <w:rsid w:val="00E46C57"/>
    <w:rsid w:val="00E46C6D"/>
    <w:rsid w:val="00E472F3"/>
    <w:rsid w:val="00E47B91"/>
    <w:rsid w:val="00E50533"/>
    <w:rsid w:val="00E50B08"/>
    <w:rsid w:val="00E5176B"/>
    <w:rsid w:val="00E525D3"/>
    <w:rsid w:val="00E528BA"/>
    <w:rsid w:val="00E5590E"/>
    <w:rsid w:val="00E565C2"/>
    <w:rsid w:val="00E60269"/>
    <w:rsid w:val="00E60C32"/>
    <w:rsid w:val="00E627F6"/>
    <w:rsid w:val="00E63F1D"/>
    <w:rsid w:val="00E64226"/>
    <w:rsid w:val="00E646D5"/>
    <w:rsid w:val="00E663A9"/>
    <w:rsid w:val="00E7080F"/>
    <w:rsid w:val="00E72173"/>
    <w:rsid w:val="00E72EC2"/>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3270"/>
    <w:rsid w:val="00EE3DE2"/>
    <w:rsid w:val="00EE4C7E"/>
    <w:rsid w:val="00EE51DB"/>
    <w:rsid w:val="00EE556D"/>
    <w:rsid w:val="00EE6128"/>
    <w:rsid w:val="00EE6184"/>
    <w:rsid w:val="00EE6A99"/>
    <w:rsid w:val="00EE7A2C"/>
    <w:rsid w:val="00EF0472"/>
    <w:rsid w:val="00EF2240"/>
    <w:rsid w:val="00EF29A1"/>
    <w:rsid w:val="00EF2D00"/>
    <w:rsid w:val="00EF3482"/>
    <w:rsid w:val="00EF6556"/>
    <w:rsid w:val="00F006D1"/>
    <w:rsid w:val="00F008E7"/>
    <w:rsid w:val="00F012A8"/>
    <w:rsid w:val="00F02C62"/>
    <w:rsid w:val="00F0319D"/>
    <w:rsid w:val="00F04472"/>
    <w:rsid w:val="00F05BB1"/>
    <w:rsid w:val="00F12D86"/>
    <w:rsid w:val="00F13B05"/>
    <w:rsid w:val="00F14A46"/>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40F13"/>
    <w:rsid w:val="00F42996"/>
    <w:rsid w:val="00F439BB"/>
    <w:rsid w:val="00F449D7"/>
    <w:rsid w:val="00F45292"/>
    <w:rsid w:val="00F45949"/>
    <w:rsid w:val="00F461AE"/>
    <w:rsid w:val="00F51106"/>
    <w:rsid w:val="00F51B88"/>
    <w:rsid w:val="00F534D3"/>
    <w:rsid w:val="00F53B28"/>
    <w:rsid w:val="00F54046"/>
    <w:rsid w:val="00F5421D"/>
    <w:rsid w:val="00F5473E"/>
    <w:rsid w:val="00F60DF3"/>
    <w:rsid w:val="00F62057"/>
    <w:rsid w:val="00F64DC6"/>
    <w:rsid w:val="00F65BCB"/>
    <w:rsid w:val="00F66656"/>
    <w:rsid w:val="00F67C01"/>
    <w:rsid w:val="00F7114B"/>
    <w:rsid w:val="00F721EF"/>
    <w:rsid w:val="00F72599"/>
    <w:rsid w:val="00F72A0B"/>
    <w:rsid w:val="00F72AC2"/>
    <w:rsid w:val="00F72B1D"/>
    <w:rsid w:val="00F74168"/>
    <w:rsid w:val="00F742F1"/>
    <w:rsid w:val="00F747FA"/>
    <w:rsid w:val="00F76037"/>
    <w:rsid w:val="00F77724"/>
    <w:rsid w:val="00F77839"/>
    <w:rsid w:val="00F811B9"/>
    <w:rsid w:val="00F8244B"/>
    <w:rsid w:val="00F8285E"/>
    <w:rsid w:val="00F9046B"/>
    <w:rsid w:val="00F91164"/>
    <w:rsid w:val="00F92B0F"/>
    <w:rsid w:val="00F93FCF"/>
    <w:rsid w:val="00F9536B"/>
    <w:rsid w:val="00F96D24"/>
    <w:rsid w:val="00FA5580"/>
    <w:rsid w:val="00FA69C3"/>
    <w:rsid w:val="00FA6AAC"/>
    <w:rsid w:val="00FA6CBC"/>
    <w:rsid w:val="00FA6D48"/>
    <w:rsid w:val="00FA7813"/>
    <w:rsid w:val="00FA7EC0"/>
    <w:rsid w:val="00FB1944"/>
    <w:rsid w:val="00FB692F"/>
    <w:rsid w:val="00FC072E"/>
    <w:rsid w:val="00FC1C6F"/>
    <w:rsid w:val="00FC4165"/>
    <w:rsid w:val="00FC4FCD"/>
    <w:rsid w:val="00FC510F"/>
    <w:rsid w:val="00FC551E"/>
    <w:rsid w:val="00FC5790"/>
    <w:rsid w:val="00FD039F"/>
    <w:rsid w:val="00FD03BF"/>
    <w:rsid w:val="00FD0835"/>
    <w:rsid w:val="00FD1995"/>
    <w:rsid w:val="00FD25E1"/>
    <w:rsid w:val="00FD32CB"/>
    <w:rsid w:val="00FD4401"/>
    <w:rsid w:val="00FD4BE4"/>
    <w:rsid w:val="00FD5E1C"/>
    <w:rsid w:val="00FD6327"/>
    <w:rsid w:val="00FD6BEA"/>
    <w:rsid w:val="00FD7DF9"/>
    <w:rsid w:val="00FE1880"/>
    <w:rsid w:val="00FE3F8E"/>
    <w:rsid w:val="00FE47ED"/>
    <w:rsid w:val="00FE5D3E"/>
    <w:rsid w:val="00FE61DC"/>
    <w:rsid w:val="00FE67D0"/>
    <w:rsid w:val="00FE6D54"/>
    <w:rsid w:val="00FF081E"/>
    <w:rsid w:val="00FF1187"/>
    <w:rsid w:val="00FF12D4"/>
    <w:rsid w:val="00FF145C"/>
    <w:rsid w:val="00FF26EE"/>
    <w:rsid w:val="00FF3102"/>
    <w:rsid w:val="00FF47A3"/>
    <w:rsid w:val="00FF78B8"/>
    <w:rsid w:val="032A5D80"/>
    <w:rsid w:val="06E274AE"/>
    <w:rsid w:val="0C24200C"/>
    <w:rsid w:val="11416217"/>
    <w:rsid w:val="12DD1B28"/>
    <w:rsid w:val="12FE3950"/>
    <w:rsid w:val="15B13C57"/>
    <w:rsid w:val="16B304F0"/>
    <w:rsid w:val="187F2692"/>
    <w:rsid w:val="1BA51044"/>
    <w:rsid w:val="1BE978E3"/>
    <w:rsid w:val="20872C9F"/>
    <w:rsid w:val="216D7189"/>
    <w:rsid w:val="239F050C"/>
    <w:rsid w:val="257E17F7"/>
    <w:rsid w:val="275663DD"/>
    <w:rsid w:val="278E5053"/>
    <w:rsid w:val="2BF92562"/>
    <w:rsid w:val="2DE024B6"/>
    <w:rsid w:val="33562ADE"/>
    <w:rsid w:val="33F52CFD"/>
    <w:rsid w:val="34B23808"/>
    <w:rsid w:val="384055D4"/>
    <w:rsid w:val="3F4113F9"/>
    <w:rsid w:val="40A404FA"/>
    <w:rsid w:val="425060F2"/>
    <w:rsid w:val="45847BA5"/>
    <w:rsid w:val="46410D56"/>
    <w:rsid w:val="469E203D"/>
    <w:rsid w:val="49E80350"/>
    <w:rsid w:val="4BB43D8C"/>
    <w:rsid w:val="4C077C53"/>
    <w:rsid w:val="4DBA22C3"/>
    <w:rsid w:val="52423785"/>
    <w:rsid w:val="56077DC5"/>
    <w:rsid w:val="5D7563F9"/>
    <w:rsid w:val="603D641A"/>
    <w:rsid w:val="606825F4"/>
    <w:rsid w:val="617A743E"/>
    <w:rsid w:val="62D3439E"/>
    <w:rsid w:val="63C00196"/>
    <w:rsid w:val="66F45EB8"/>
    <w:rsid w:val="69104B48"/>
    <w:rsid w:val="697406AA"/>
    <w:rsid w:val="69782474"/>
    <w:rsid w:val="6B126E3A"/>
    <w:rsid w:val="6B97436A"/>
    <w:rsid w:val="6C11369E"/>
    <w:rsid w:val="6DC17C96"/>
    <w:rsid w:val="6F194F50"/>
    <w:rsid w:val="71FEDFB2"/>
    <w:rsid w:val="73210D6E"/>
    <w:rsid w:val="73B91B46"/>
    <w:rsid w:val="766746CB"/>
    <w:rsid w:val="76EC41F7"/>
    <w:rsid w:val="77664E62"/>
    <w:rsid w:val="78A10217"/>
    <w:rsid w:val="795A6BAA"/>
    <w:rsid w:val="79C07B41"/>
    <w:rsid w:val="7E9F5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48"/>
    <w:qFormat/>
    <w:uiPriority w:val="0"/>
    <w:pPr>
      <w:spacing w:before="340" w:after="330" w:line="360" w:lineRule="auto"/>
      <w:jc w:val="center"/>
      <w:outlineLvl w:val="0"/>
    </w:pPr>
    <w:rPr>
      <w:kern w:val="44"/>
      <w:sz w:val="32"/>
      <w:szCs w:val="36"/>
    </w:rPr>
  </w:style>
  <w:style w:type="paragraph" w:styleId="5">
    <w:name w:val="heading 2"/>
    <w:basedOn w:val="3"/>
    <w:next w:val="4"/>
    <w:link w:val="49"/>
    <w:qFormat/>
    <w:uiPriority w:val="0"/>
    <w:pPr>
      <w:adjustRightInd w:val="0"/>
      <w:jc w:val="center"/>
      <w:textAlignment w:val="baseline"/>
      <w:outlineLvl w:val="1"/>
    </w:pPr>
    <w:rPr>
      <w:bCs w:val="0"/>
      <w:kern w:val="0"/>
      <w:szCs w:val="20"/>
    </w:rPr>
  </w:style>
  <w:style w:type="paragraph" w:styleId="3">
    <w:name w:val="heading 3"/>
    <w:basedOn w:val="4"/>
    <w:next w:val="1"/>
    <w:link w:val="47"/>
    <w:qFormat/>
    <w:uiPriority w:val="0"/>
    <w:pPr>
      <w:spacing w:before="260" w:after="260" w:line="240" w:lineRule="auto"/>
      <w:outlineLvl w:val="2"/>
    </w:pPr>
    <w:rPr>
      <w:rFonts w:ascii="宋体" w:hAnsi="宋体" w:eastAsia="宋体"/>
      <w:szCs w:val="32"/>
    </w:rPr>
  </w:style>
  <w:style w:type="paragraph" w:styleId="4">
    <w:name w:val="heading 4"/>
    <w:basedOn w:val="1"/>
    <w:next w:val="1"/>
    <w:link w:val="46"/>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qFormat/>
    <w:uiPriority w:val="0"/>
    <w:pPr>
      <w:keepNext/>
      <w:keepLines/>
      <w:spacing w:before="280" w:after="290" w:line="376" w:lineRule="auto"/>
      <w:outlineLvl w:val="4"/>
    </w:pPr>
    <w:rPr>
      <w:b/>
      <w:sz w:val="28"/>
      <w:szCs w:val="20"/>
    </w:rPr>
  </w:style>
  <w:style w:type="paragraph" w:styleId="8">
    <w:name w:val="heading 6"/>
    <w:basedOn w:val="1"/>
    <w:next w:val="7"/>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qFormat/>
    <w:uiPriority w:val="0"/>
    <w:pPr>
      <w:keepNext/>
      <w:keepLines/>
      <w:spacing w:before="240" w:after="64" w:line="320" w:lineRule="auto"/>
      <w:outlineLvl w:val="6"/>
    </w:pPr>
    <w:rPr>
      <w:b/>
      <w:sz w:val="24"/>
      <w:szCs w:val="20"/>
    </w:rPr>
  </w:style>
  <w:style w:type="paragraph" w:styleId="10">
    <w:name w:val="heading 8"/>
    <w:basedOn w:val="1"/>
    <w:next w:val="7"/>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qFormat/>
    <w:uiPriority w:val="0"/>
    <w:pPr>
      <w:keepNext/>
      <w:keepLines/>
      <w:spacing w:before="240" w:after="64" w:line="320" w:lineRule="auto"/>
      <w:outlineLvl w:val="8"/>
    </w:pPr>
    <w:rPr>
      <w:rFonts w:ascii="Arial" w:hAnsi="Arial" w:eastAsia="黑体"/>
      <w:szCs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0"/>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List Bullet"/>
    <w:basedOn w:val="1"/>
    <w:qFormat/>
    <w:uiPriority w:val="0"/>
    <w:pPr>
      <w:numPr>
        <w:ilvl w:val="0"/>
        <w:numId w:val="1"/>
      </w:numPr>
    </w:pPr>
    <w:rPr>
      <w:szCs w:val="20"/>
    </w:rPr>
  </w:style>
  <w:style w:type="paragraph" w:styleId="14">
    <w:name w:val="Document Map"/>
    <w:basedOn w:val="1"/>
    <w:semiHidden/>
    <w:qFormat/>
    <w:uiPriority w:val="0"/>
    <w:pPr>
      <w:shd w:val="clear" w:color="auto" w:fill="000080"/>
    </w:pPr>
  </w:style>
  <w:style w:type="paragraph" w:styleId="15">
    <w:name w:val="annotation text"/>
    <w:basedOn w:val="1"/>
    <w:link w:val="51"/>
    <w:semiHidden/>
    <w:qFormat/>
    <w:uiPriority w:val="0"/>
    <w:pPr>
      <w:autoSpaceDE w:val="0"/>
      <w:autoSpaceDN w:val="0"/>
      <w:adjustRightInd w:val="0"/>
      <w:jc w:val="left"/>
      <w:textAlignment w:val="baseline"/>
    </w:pPr>
    <w:rPr>
      <w:rFonts w:ascii="宋体"/>
      <w:kern w:val="0"/>
      <w:sz w:val="34"/>
      <w:szCs w:val="20"/>
    </w:rPr>
  </w:style>
  <w:style w:type="paragraph" w:styleId="16">
    <w:name w:val="Body Text 3"/>
    <w:basedOn w:val="1"/>
    <w:qFormat/>
    <w:uiPriority w:val="0"/>
    <w:pPr>
      <w:spacing w:after="120"/>
    </w:pPr>
    <w:rPr>
      <w:sz w:val="16"/>
      <w:szCs w:val="16"/>
    </w:rPr>
  </w:style>
  <w:style w:type="paragraph" w:styleId="17">
    <w:name w:val="Body Text"/>
    <w:basedOn w:val="1"/>
    <w:qFormat/>
    <w:uiPriority w:val="0"/>
    <w:pPr>
      <w:spacing w:line="360" w:lineRule="auto"/>
    </w:pPr>
    <w:rPr>
      <w:b/>
      <w:bCs/>
      <w:sz w:val="24"/>
    </w:rPr>
  </w:style>
  <w:style w:type="paragraph" w:styleId="18">
    <w:name w:val="Body Text Indent"/>
    <w:basedOn w:val="1"/>
    <w:qFormat/>
    <w:uiPriority w:val="0"/>
    <w:pPr>
      <w:spacing w:line="360" w:lineRule="auto"/>
      <w:ind w:firstLine="420" w:firstLineChars="200"/>
    </w:pPr>
  </w:style>
  <w:style w:type="paragraph" w:styleId="19">
    <w:name w:val="toc 5"/>
    <w:basedOn w:val="1"/>
    <w:next w:val="1"/>
    <w:semiHidden/>
    <w:qFormat/>
    <w:uiPriority w:val="0"/>
    <w:pPr>
      <w:ind w:left="840"/>
      <w:jc w:val="left"/>
    </w:pPr>
    <w:rPr>
      <w:szCs w:val="21"/>
    </w:rPr>
  </w:style>
  <w:style w:type="paragraph" w:styleId="20">
    <w:name w:val="toc 3"/>
    <w:basedOn w:val="1"/>
    <w:next w:val="1"/>
    <w:semiHidden/>
    <w:qFormat/>
    <w:uiPriority w:val="0"/>
    <w:pPr>
      <w:ind w:left="420"/>
      <w:jc w:val="left"/>
    </w:pPr>
    <w:rPr>
      <w:i/>
      <w:iCs/>
    </w:rPr>
  </w:style>
  <w:style w:type="paragraph" w:styleId="21">
    <w:name w:val="Plain Text"/>
    <w:basedOn w:val="1"/>
    <w:qFormat/>
    <w:uiPriority w:val="0"/>
    <w:rPr>
      <w:rFonts w:ascii="宋体" w:hAnsi="Courier New"/>
      <w:szCs w:val="20"/>
    </w:rPr>
  </w:style>
  <w:style w:type="paragraph" w:styleId="22">
    <w:name w:val="toc 8"/>
    <w:basedOn w:val="1"/>
    <w:next w:val="1"/>
    <w:semiHidden/>
    <w:qFormat/>
    <w:uiPriority w:val="0"/>
    <w:pPr>
      <w:ind w:left="1470"/>
      <w:jc w:val="left"/>
    </w:pPr>
    <w:rPr>
      <w:szCs w:val="21"/>
    </w:rPr>
  </w:style>
  <w:style w:type="paragraph" w:styleId="23">
    <w:name w:val="Date"/>
    <w:basedOn w:val="1"/>
    <w:next w:val="1"/>
    <w:qFormat/>
    <w:uiPriority w:val="0"/>
    <w:rPr>
      <w:rFonts w:ascii="宋体" w:hAnsi="Courier New"/>
      <w:sz w:val="32"/>
      <w:szCs w:val="20"/>
    </w:rPr>
  </w:style>
  <w:style w:type="paragraph" w:styleId="24">
    <w:name w:val="Body Text Indent 2"/>
    <w:basedOn w:val="1"/>
    <w:qFormat/>
    <w:uiPriority w:val="0"/>
    <w:pPr>
      <w:spacing w:before="156" w:beforeLines="50" w:after="156" w:afterLines="50" w:line="120" w:lineRule="auto"/>
      <w:ind w:firstLine="840" w:firstLineChars="400"/>
      <w:jc w:val="left"/>
    </w:pPr>
    <w:rPr>
      <w:rFonts w:ascii="宋体" w:hAnsi="宋体"/>
    </w:rPr>
  </w:style>
  <w:style w:type="paragraph" w:styleId="25">
    <w:name w:val="Balloon Text"/>
    <w:basedOn w:val="1"/>
    <w:semiHidden/>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semiHidden/>
    <w:qFormat/>
    <w:uiPriority w:val="0"/>
    <w:pPr>
      <w:spacing w:before="120" w:after="120"/>
      <w:jc w:val="left"/>
    </w:pPr>
    <w:rPr>
      <w:b/>
      <w:bCs/>
      <w:caps/>
    </w:rPr>
  </w:style>
  <w:style w:type="paragraph" w:styleId="29">
    <w:name w:val="toc 4"/>
    <w:basedOn w:val="1"/>
    <w:next w:val="1"/>
    <w:semiHidden/>
    <w:qFormat/>
    <w:uiPriority w:val="0"/>
    <w:pPr>
      <w:ind w:left="630"/>
      <w:jc w:val="left"/>
    </w:pPr>
    <w:rPr>
      <w:szCs w:val="21"/>
    </w:rPr>
  </w:style>
  <w:style w:type="paragraph" w:styleId="30">
    <w:name w:val="toc 6"/>
    <w:basedOn w:val="1"/>
    <w:next w:val="1"/>
    <w:semiHidden/>
    <w:qFormat/>
    <w:uiPriority w:val="0"/>
    <w:pPr>
      <w:ind w:left="1050"/>
      <w:jc w:val="left"/>
    </w:pPr>
    <w:rPr>
      <w:szCs w:val="21"/>
    </w:rPr>
  </w:style>
  <w:style w:type="paragraph" w:styleId="31">
    <w:name w:val="Body Text Indent 3"/>
    <w:basedOn w:val="1"/>
    <w:qFormat/>
    <w:uiPriority w:val="0"/>
    <w:pPr>
      <w:spacing w:line="360" w:lineRule="auto"/>
      <w:ind w:firstLine="482" w:firstLineChars="200"/>
    </w:pPr>
    <w:rPr>
      <w:rFonts w:ascii="宋体"/>
      <w:b/>
      <w:bCs/>
      <w:sz w:val="24"/>
    </w:rPr>
  </w:style>
  <w:style w:type="paragraph" w:styleId="32">
    <w:name w:val="toc 2"/>
    <w:basedOn w:val="1"/>
    <w:next w:val="1"/>
    <w:semiHidden/>
    <w:qFormat/>
    <w:uiPriority w:val="0"/>
    <w:pPr>
      <w:tabs>
        <w:tab w:val="right" w:leader="dot" w:pos="8296"/>
      </w:tabs>
      <w:ind w:left="210"/>
      <w:jc w:val="left"/>
    </w:pPr>
    <w:rPr>
      <w:smallCaps/>
    </w:rPr>
  </w:style>
  <w:style w:type="paragraph" w:styleId="33">
    <w:name w:val="toc 9"/>
    <w:basedOn w:val="1"/>
    <w:next w:val="1"/>
    <w:semiHidden/>
    <w:qFormat/>
    <w:uiPriority w:val="0"/>
    <w:pPr>
      <w:ind w:left="1680"/>
      <w:jc w:val="left"/>
    </w:pPr>
    <w:rPr>
      <w:szCs w:val="21"/>
    </w:rPr>
  </w:style>
  <w:style w:type="paragraph" w:styleId="34">
    <w:name w:val="Body Text 2"/>
    <w:basedOn w:val="1"/>
    <w:qFormat/>
    <w:uiPriority w:val="0"/>
    <w:pPr>
      <w:spacing w:line="360" w:lineRule="auto"/>
    </w:pPr>
    <w:rPr>
      <w:sz w:val="24"/>
    </w:rPr>
  </w:style>
  <w:style w:type="paragraph" w:styleId="3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6">
    <w:name w:val="Normal (Web)"/>
    <w:basedOn w:val="1"/>
    <w:qFormat/>
    <w:uiPriority w:val="0"/>
    <w:rPr>
      <w:sz w:val="24"/>
    </w:rPr>
  </w:style>
  <w:style w:type="paragraph" w:styleId="37">
    <w:name w:val="Title"/>
    <w:basedOn w:val="1"/>
    <w:qFormat/>
    <w:uiPriority w:val="0"/>
    <w:pPr>
      <w:spacing w:before="240" w:after="60"/>
      <w:jc w:val="center"/>
      <w:outlineLvl w:val="0"/>
    </w:pPr>
    <w:rPr>
      <w:rFonts w:ascii="Arial" w:hAnsi="Arial" w:eastAsia="隶书" w:cs="Arial"/>
      <w:b/>
      <w:bCs/>
      <w:sz w:val="32"/>
      <w:szCs w:val="32"/>
    </w:rPr>
  </w:style>
  <w:style w:type="paragraph" w:styleId="38">
    <w:name w:val="annotation subject"/>
    <w:basedOn w:val="15"/>
    <w:next w:val="15"/>
    <w:semiHidden/>
    <w:qFormat/>
    <w:uiPriority w:val="0"/>
    <w:pPr>
      <w:autoSpaceDE/>
      <w:autoSpaceDN/>
      <w:adjustRightInd/>
      <w:textAlignment w:val="auto"/>
    </w:pPr>
    <w:rPr>
      <w:rFonts w:ascii="Times New Roman"/>
      <w:b/>
      <w:bCs/>
      <w:kern w:val="2"/>
      <w:sz w:val="21"/>
      <w:szCs w:val="24"/>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page number"/>
    <w:basedOn w:val="41"/>
    <w:qFormat/>
    <w:uiPriority w:val="0"/>
  </w:style>
  <w:style w:type="character" w:styleId="43">
    <w:name w:val="FollowedHyperlink"/>
    <w:qFormat/>
    <w:uiPriority w:val="0"/>
    <w:rPr>
      <w:color w:val="800080"/>
      <w:u w:val="single"/>
    </w:rPr>
  </w:style>
  <w:style w:type="character" w:styleId="44">
    <w:name w:val="Hyperlink"/>
    <w:qFormat/>
    <w:uiPriority w:val="0"/>
    <w:rPr>
      <w:color w:val="0000FF"/>
      <w:u w:val="single"/>
    </w:rPr>
  </w:style>
  <w:style w:type="character" w:styleId="45">
    <w:name w:val="annotation reference"/>
    <w:unhideWhenUsed/>
    <w:qFormat/>
    <w:uiPriority w:val="0"/>
    <w:rPr>
      <w:sz w:val="21"/>
      <w:szCs w:val="21"/>
    </w:rPr>
  </w:style>
  <w:style w:type="character" w:customStyle="1" w:styleId="46">
    <w:name w:val="标题 4 字符"/>
    <w:link w:val="4"/>
    <w:qFormat/>
    <w:uiPriority w:val="0"/>
    <w:rPr>
      <w:rFonts w:ascii="Arial" w:hAnsi="Arial" w:eastAsia="黑体"/>
      <w:b/>
      <w:bCs/>
      <w:kern w:val="2"/>
      <w:sz w:val="28"/>
      <w:szCs w:val="28"/>
      <w:lang w:val="en-US" w:eastAsia="zh-CN" w:bidi="ar-SA"/>
    </w:rPr>
  </w:style>
  <w:style w:type="character" w:customStyle="1" w:styleId="47">
    <w:name w:val="标题 3 字符"/>
    <w:link w:val="3"/>
    <w:qFormat/>
    <w:uiPriority w:val="0"/>
    <w:rPr>
      <w:rFonts w:ascii="宋体" w:hAnsi="宋体" w:eastAsia="宋体"/>
      <w:b/>
      <w:bCs/>
      <w:kern w:val="2"/>
      <w:sz w:val="28"/>
      <w:szCs w:val="32"/>
      <w:lang w:val="en-US" w:eastAsia="zh-CN" w:bidi="ar-SA"/>
    </w:rPr>
  </w:style>
  <w:style w:type="character" w:customStyle="1" w:styleId="48">
    <w:name w:val="标题 1 字符"/>
    <w:link w:val="2"/>
    <w:qFormat/>
    <w:uiPriority w:val="0"/>
    <w:rPr>
      <w:rFonts w:ascii="宋体" w:hAnsi="宋体" w:eastAsia="宋体"/>
      <w:b/>
      <w:bCs/>
      <w:kern w:val="44"/>
      <w:sz w:val="32"/>
      <w:szCs w:val="36"/>
      <w:lang w:val="en-US" w:eastAsia="zh-CN" w:bidi="ar-SA"/>
    </w:rPr>
  </w:style>
  <w:style w:type="character" w:customStyle="1" w:styleId="49">
    <w:name w:val="标题 2 字符"/>
    <w:link w:val="5"/>
    <w:qFormat/>
    <w:uiPriority w:val="0"/>
    <w:rPr>
      <w:rFonts w:ascii="宋体" w:hAnsi="宋体" w:eastAsia="宋体"/>
      <w:b/>
      <w:sz w:val="28"/>
      <w:lang w:val="en-US" w:eastAsia="zh-CN" w:bidi="ar-SA"/>
    </w:rPr>
  </w:style>
  <w:style w:type="character" w:customStyle="1" w:styleId="50">
    <w:name w:val="正文缩进 字符"/>
    <w:link w:val="7"/>
    <w:qFormat/>
    <w:uiPriority w:val="0"/>
    <w:rPr>
      <w:rFonts w:eastAsia="宋体"/>
      <w:kern w:val="2"/>
      <w:sz w:val="21"/>
      <w:lang w:val="en-US" w:eastAsia="zh-CN" w:bidi="ar-SA"/>
    </w:rPr>
  </w:style>
  <w:style w:type="character" w:customStyle="1" w:styleId="51">
    <w:name w:val="批注文字 字符"/>
    <w:link w:val="15"/>
    <w:semiHidden/>
    <w:qFormat/>
    <w:uiPriority w:val="0"/>
    <w:rPr>
      <w:rFonts w:ascii="宋体" w:eastAsia="宋体"/>
      <w:sz w:val="34"/>
      <w:lang w:val="en-US" w:eastAsia="zh-CN" w:bidi="ar-SA"/>
    </w:rPr>
  </w:style>
  <w:style w:type="character" w:customStyle="1" w:styleId="52">
    <w:name w:val="页眉 字符"/>
    <w:link w:val="27"/>
    <w:qFormat/>
    <w:uiPriority w:val="0"/>
    <w:rPr>
      <w:rFonts w:eastAsia="宋体"/>
      <w:kern w:val="2"/>
      <w:sz w:val="18"/>
      <w:szCs w:val="18"/>
      <w:lang w:val="en-US" w:eastAsia="zh-CN" w:bidi="ar-SA"/>
    </w:rPr>
  </w:style>
  <w:style w:type="character" w:customStyle="1" w:styleId="53">
    <w:name w:val="标题 3 Char"/>
    <w:qFormat/>
    <w:uiPriority w:val="0"/>
    <w:rPr>
      <w:rFonts w:ascii="黑体" w:eastAsia="黑体"/>
      <w:bCs/>
      <w:sz w:val="30"/>
    </w:rPr>
  </w:style>
  <w:style w:type="paragraph" w:customStyle="1" w:styleId="5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5">
    <w:name w:val="Char Char Char Char Char Char Char"/>
    <w:basedOn w:val="1"/>
    <w:qFormat/>
    <w:uiPriority w:val="0"/>
    <w:pPr>
      <w:widowControl/>
      <w:spacing w:after="160" w:line="240" w:lineRule="exact"/>
      <w:jc w:val="left"/>
    </w:pPr>
  </w:style>
  <w:style w:type="paragraph" w:customStyle="1" w:styleId="5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7">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8">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59">
    <w:name w:val="List Paragraph"/>
    <w:basedOn w:val="1"/>
    <w:qFormat/>
    <w:uiPriority w:val="34"/>
    <w:pPr>
      <w:ind w:firstLine="420" w:firstLineChars="200"/>
    </w:pPr>
  </w:style>
  <w:style w:type="paragraph" w:customStyle="1" w:styleId="60">
    <w:name w:val="自定义正文"/>
    <w:basedOn w:val="1"/>
    <w:qFormat/>
    <w:uiPriority w:val="0"/>
    <w:pPr>
      <w:spacing w:after="50" w:afterLines="50"/>
      <w:ind w:left="600" w:leftChars="600"/>
    </w:pPr>
  </w:style>
  <w:style w:type="paragraph" w:customStyle="1" w:styleId="61">
    <w:name w:val="_Style 51"/>
    <w:basedOn w:val="1"/>
    <w:qFormat/>
    <w:uiPriority w:val="0"/>
    <w:pPr>
      <w:widowControl/>
      <w:spacing w:after="160" w:line="240" w:lineRule="exact"/>
      <w:jc w:val="left"/>
    </w:pPr>
  </w:style>
  <w:style w:type="paragraph" w:customStyle="1" w:styleId="62">
    <w:name w:val="Char Char"/>
    <w:basedOn w:val="1"/>
    <w:qFormat/>
    <w:uiPriority w:val="0"/>
    <w:rPr>
      <w:rFonts w:ascii="Tahoma" w:hAnsi="Tahoma"/>
      <w:sz w:val="24"/>
      <w:szCs w:val="20"/>
    </w:rPr>
  </w:style>
  <w:style w:type="paragraph" w:customStyle="1" w:styleId="63">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4">
    <w:name w:val="样式41"/>
    <w:basedOn w:val="1"/>
    <w:qFormat/>
    <w:uiPriority w:val="0"/>
    <w:pPr>
      <w:numPr>
        <w:ilvl w:val="0"/>
        <w:numId w:val="2"/>
      </w:numPr>
      <w:tabs>
        <w:tab w:val="left" w:pos="945"/>
        <w:tab w:val="clear" w:pos="2040"/>
      </w:tabs>
      <w:spacing w:line="360" w:lineRule="auto"/>
    </w:pPr>
    <w:rPr>
      <w:b/>
      <w:color w:val="000000"/>
      <w:sz w:val="24"/>
      <w:szCs w:val="20"/>
    </w:rPr>
  </w:style>
  <w:style w:type="paragraph" w:customStyle="1" w:styleId="6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6">
    <w:name w:val="Char Char Char Char Char"/>
    <w:basedOn w:val="1"/>
    <w:qFormat/>
    <w:uiPriority w:val="0"/>
    <w:rPr>
      <w:rFonts w:ascii="Tahoma" w:hAnsi="Tahoma"/>
      <w:sz w:val="24"/>
      <w:szCs w:val="20"/>
    </w:rPr>
  </w:style>
  <w:style w:type="paragraph" w:customStyle="1" w:styleId="6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 Char Char Char Char Char Char1"/>
    <w:basedOn w:val="1"/>
    <w:qFormat/>
    <w:uiPriority w:val="0"/>
    <w:pPr>
      <w:widowControl/>
      <w:spacing w:after="160" w:line="240" w:lineRule="exact"/>
      <w:jc w:val="left"/>
    </w:pPr>
  </w:style>
  <w:style w:type="paragraph" w:customStyle="1" w:styleId="70">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1">
    <w:name w:val="Table Paragraph"/>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2">
    <w:name w:val="font11"/>
    <w:basedOn w:val="41"/>
    <w:qFormat/>
    <w:uiPriority w:val="0"/>
    <w:rPr>
      <w:rFonts w:hint="eastAsia" w:ascii="宋体" w:hAnsi="宋体" w:eastAsia="宋体" w:cs="宋体"/>
      <w:color w:val="000000"/>
      <w:sz w:val="20"/>
      <w:szCs w:val="20"/>
      <w:u w:val="none"/>
    </w:rPr>
  </w:style>
  <w:style w:type="character" w:customStyle="1" w:styleId="73">
    <w:name w:val="font41"/>
    <w:basedOn w:val="41"/>
    <w:qFormat/>
    <w:uiPriority w:val="0"/>
    <w:rPr>
      <w:rFonts w:hint="eastAsia" w:ascii="宋体" w:hAnsi="宋体" w:eastAsia="宋体" w:cs="宋体"/>
      <w:color w:val="000000"/>
      <w:sz w:val="20"/>
      <w:szCs w:val="20"/>
      <w:u w:val="none"/>
    </w:rPr>
  </w:style>
  <w:style w:type="character" w:customStyle="1" w:styleId="74">
    <w:name w:val="font21"/>
    <w:basedOn w:val="41"/>
    <w:qFormat/>
    <w:uiPriority w:val="0"/>
    <w:rPr>
      <w:rFonts w:hint="eastAsia" w:ascii="宋体" w:hAnsi="宋体" w:eastAsia="宋体" w:cs="宋体"/>
      <w:color w:val="000000"/>
      <w:sz w:val="20"/>
      <w:szCs w:val="20"/>
      <w:u w:val="none"/>
    </w:rPr>
  </w:style>
  <w:style w:type="character" w:customStyle="1" w:styleId="75">
    <w:name w:val="font31"/>
    <w:basedOn w:val="41"/>
    <w:qFormat/>
    <w:uiPriority w:val="0"/>
    <w:rPr>
      <w:rFonts w:hint="eastAsia" w:ascii="宋体" w:hAnsi="宋体" w:eastAsia="宋体" w:cs="宋体"/>
      <w:color w:val="000000"/>
      <w:sz w:val="20"/>
      <w:szCs w:val="20"/>
      <w:u w:val="none"/>
      <w:vertAlign w:val="superscript"/>
    </w:rPr>
  </w:style>
  <w:style w:type="character" w:customStyle="1" w:styleId="76">
    <w:name w:val="font61"/>
    <w:basedOn w:val="41"/>
    <w:qFormat/>
    <w:uiPriority w:val="0"/>
    <w:rPr>
      <w:rFonts w:hint="eastAsia" w:ascii="宋体" w:hAnsi="宋体" w:eastAsia="宋体" w:cs="宋体"/>
      <w:color w:val="000000"/>
      <w:sz w:val="20"/>
      <w:szCs w:val="20"/>
      <w:u w:val="none"/>
    </w:rPr>
  </w:style>
  <w:style w:type="character" w:customStyle="1" w:styleId="77">
    <w:name w:val="font01"/>
    <w:basedOn w:val="4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21</Pages>
  <Words>11719</Words>
  <Characters>12510</Characters>
  <Lines>110</Lines>
  <Paragraphs>31</Paragraphs>
  <TotalTime>5</TotalTime>
  <ScaleCrop>false</ScaleCrop>
  <LinksUpToDate>false</LinksUpToDate>
  <CharactersWithSpaces>14056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2015-05-11T09:29:00Z</dcterms:created>
  <dc:creator>thsware</dc:creator>
  <cp:lastModifiedBy>甜甜</cp:lastModifiedBy>
  <cp:lastPrinted>2015-02-16T02:37:00Z</cp:lastPrinted>
  <dcterms:modified xsi:type="dcterms:W3CDTF">2022-11-03T09:22:05Z</dcterms:modified>
  <dc:title>招  标　文　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BB87CA5906FB4AC483E17446EA6854A3</vt:lpwstr>
  </property>
</Properties>
</file>