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小学部电动防撞桩</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3015</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r>
        <w:rPr>
          <w:rFonts w:hint="eastAsia" w:ascii="黑体" w:hAnsi="华文中宋" w:eastAsia="黑体" w:cs="Arial"/>
          <w:sz w:val="32"/>
          <w:szCs w:val="32"/>
        </w:rPr>
        <w:t>日</w:t>
      </w:r>
      <w:r>
        <w:rPr>
          <w:rFonts w:hint="eastAsia" w:ascii="宋体" w:hAnsi="宋体" w:cs="宋体"/>
          <w:sz w:val="32"/>
          <w:szCs w:val="32"/>
        </w:rPr>
        <w:br w:type="page"/>
      </w:r>
    </w:p>
    <w:p>
      <w:pPr>
        <w:pStyle w:val="4"/>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3015</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深圳实验学校小学部电动防撞桩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7"/>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7"/>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7"/>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45</w:t>
            </w:r>
            <w:r>
              <w:rPr>
                <w:rFonts w:hint="eastAsia" w:cs="宋体"/>
              </w:rPr>
              <w:t>分，带“</w:t>
            </w:r>
            <w:r>
              <w:rPr>
                <w:rFonts w:hint="eastAsia"/>
              </w:rPr>
              <w:t>▲</w:t>
            </w:r>
            <w:r>
              <w:rPr>
                <w:rFonts w:hint="eastAsia" w:cs="宋体"/>
              </w:rPr>
              <w:t>”指标，每负偏离一项扣</w:t>
            </w:r>
            <w:r>
              <w:rPr>
                <w:rFonts w:hint="eastAsia"/>
                <w:color w:val="FF0000"/>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tcBorders/>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5"/>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5"/>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5"/>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7"/>
        <w:jc w:val="both"/>
        <w:rPr>
          <w:rFonts w:cs="宋体"/>
          <w:sz w:val="21"/>
          <w:szCs w:val="21"/>
        </w:rPr>
      </w:pPr>
    </w:p>
    <w:p>
      <w:pPr>
        <w:pStyle w:val="7"/>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函"/>
      <w:bookmarkEnd w:id="3"/>
      <w:bookmarkStart w:id="4" w:name="bt其他资料由投标人自定"/>
      <w:bookmarkEnd w:id="4"/>
      <w:bookmarkStart w:id="5" w:name="bt投标人情况介绍"/>
      <w:bookmarkEnd w:id="5"/>
      <w:bookmarkStart w:id="6" w:name="bt说明"/>
      <w:bookmarkEnd w:id="6"/>
      <w:bookmarkStart w:id="7" w:name="合同格式"/>
      <w:bookmarkEnd w:id="7"/>
      <w:bookmarkStart w:id="8" w:name="bt合同格式"/>
      <w:bookmarkEnd w:id="8"/>
      <w:bookmarkStart w:id="9" w:name="bt投标报价汇总表"/>
      <w:bookmarkEnd w:id="9"/>
      <w:bookmarkStart w:id="10" w:name="bt合同条款及格式"/>
      <w:bookmarkEnd w:id="10"/>
      <w:bookmarkStart w:id="11" w:name="bt商务标投标文件格式"/>
      <w:bookmarkEnd w:id="11"/>
      <w:bookmarkStart w:id="12" w:name="bt合同条款"/>
      <w:bookmarkEnd w:id="12"/>
      <w:bookmarkStart w:id="13" w:name="bt技术标投标文件格式"/>
      <w:bookmarkEnd w:id="13"/>
      <w:bookmarkStart w:id="14" w:name="bt本工程承诺书"/>
      <w:bookmarkEnd w:id="14"/>
      <w:bookmarkStart w:id="15" w:name="bt投标人须知"/>
      <w:bookmarkEnd w:id="15"/>
      <w:bookmarkStart w:id="16" w:name="bt项目管理班子配备情况"/>
      <w:bookmarkEnd w:id="16"/>
      <w:bookmarkStart w:id="17" w:name="bt开标一览表"/>
      <w:bookmarkEnd w:id="17"/>
      <w:bookmarkStart w:id="18" w:name="bt其他资料2"/>
      <w:bookmarkEnd w:id="18"/>
      <w:bookmarkStart w:id="19" w:name="bt投标文件签署授权委托书"/>
      <w:bookmarkEnd w:id="19"/>
    </w:p>
    <w:p>
      <w:pPr>
        <w:pStyle w:val="4"/>
        <w:pageBreakBefore w:val="0"/>
        <w:kinsoku/>
        <w:wordWrap/>
        <w:overflowPunct/>
        <w:topLinePunct w:val="0"/>
        <w:autoSpaceDE/>
        <w:autoSpaceDN/>
        <w:bidi w:val="0"/>
        <w:snapToGrid/>
        <w:spacing w:line="320" w:lineRule="exact"/>
      </w:pPr>
      <w:r>
        <w:rPr>
          <w:rFonts w:hint="eastAsia"/>
        </w:rPr>
        <w:t>第二章  项目需求</w:t>
      </w: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100052364"/>
      <w:bookmarkStart w:id="22" w:name="_Toc60560625"/>
      <w:bookmarkStart w:id="23" w:name="_Toc73517639"/>
      <w:bookmarkStart w:id="24" w:name="_Toc101074876"/>
      <w:bookmarkStart w:id="25" w:name="_Toc73518117"/>
      <w:bookmarkStart w:id="26" w:name="_Toc60631620"/>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深圳实验学校小学部电动防撞桩</w:t>
      </w:r>
      <w:r>
        <w:rPr>
          <w:rFonts w:hint="eastAsia" w:ascii="宋体" w:hAnsi="宋体" w:cs="宋体"/>
          <w:szCs w:val="21"/>
        </w:rPr>
        <w:t>。</w:t>
      </w:r>
    </w:p>
    <w:p>
      <w:pPr>
        <w:pStyle w:val="2"/>
        <w:rPr>
          <w:rFonts w:hint="eastAsia"/>
        </w:rPr>
      </w:pPr>
    </w:p>
    <w:p>
      <w:pPr>
        <w:pStyle w:val="7"/>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Style w:val="2"/>
      </w:pP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14</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个</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188000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r>
              <w:rPr>
                <w:rFonts w:hint="eastAsia" w:ascii="微软雅黑" w:hAnsi="微软雅黑" w:eastAsia="微软雅黑" w:cs="微软雅黑"/>
                <w:color w:val="000000" w:themeColor="text1"/>
                <w:kern w:val="0"/>
                <w:sz w:val="16"/>
                <w:szCs w:val="16"/>
                <w:lang w:val="en-US" w:eastAsia="zh-CN"/>
                <w14:textFill>
                  <w14:solidFill>
                    <w14:schemeClr w14:val="tx1"/>
                  </w14:solidFill>
                </w14:textFill>
              </w:rPr>
              <w:t>控制系统</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2</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7"/>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0"/>
        <w:gridCol w:w="1362"/>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462" w:type="dxa"/>
            <w:gridSpan w:val="2"/>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货物名称</w:t>
            </w:r>
          </w:p>
        </w:tc>
        <w:tc>
          <w:tcPr>
            <w:tcW w:w="562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restart"/>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110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p>
        </w:tc>
        <w:tc>
          <w:tcPr>
            <w:tcW w:w="1362" w:type="dxa"/>
            <w:vAlign w:val="center"/>
          </w:tcPr>
          <w:p>
            <w:pPr>
              <w:widowControl/>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kern w:val="0"/>
                <w:sz w:val="15"/>
                <w:szCs w:val="15"/>
              </w:rPr>
              <w:t>行业规范标准基础性要求</w:t>
            </w: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1、防撞柱体驱动方式：全自动液压机电一体式（每根升降柱内部单独配置液压机芯）；</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2、防撞柱体尺寸：直径≥219mm；柱体厚度≥6mm；柱体高度（拦截高度）≥600 mm；盖板厚度≥10mm；表面磨砂工艺；</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3、地面装饰法兰直径：400mm±5mm；地面装饰法兰厚度：≥10mm；</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预埋桶尺寸：直径≥320mm；壁厚：≥2mm；高度：≥1100mm；底部应设有排水口，排水管口外径≥50mm，壁厚≥4mm；穿线孔中心距离地面面板距离应≥100mm，穿线孔直径应≥φ50mm，壁厚≥4mm；预埋桶边缘需有防撞加强点位及焊接固定条设计；</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5、工作电压220V/50HZ；额定功率≥350W；</w:t>
            </w:r>
          </w:p>
          <w:p>
            <w:p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6、运行速度：上升时间2</w:t>
            </w:r>
            <w:r>
              <w:rPr>
                <w:rFonts w:hint="eastAsia" w:ascii="微软雅黑" w:hAnsi="微软雅黑" w:eastAsia="微软雅黑" w:cs="微软雅黑"/>
                <w:color w:val="000000" w:themeColor="text1"/>
                <w:sz w:val="16"/>
                <w:szCs w:val="16"/>
                <w14:textFill>
                  <w14:solidFill>
                    <w14:schemeClr w14:val="tx1"/>
                  </w14:solidFill>
                </w14:textFill>
              </w:rPr>
              <w:t>~</w:t>
            </w:r>
            <w:r>
              <w:rPr>
                <w:rFonts w:hint="eastAsia" w:ascii="微软雅黑" w:hAnsi="微软雅黑" w:eastAsia="微软雅黑" w:cs="微软雅黑"/>
                <w:color w:val="000000" w:themeColor="text1"/>
                <w:kern w:val="0"/>
                <w:sz w:val="16"/>
                <w:szCs w:val="16"/>
                <w14:textFill>
                  <w14:solidFill>
                    <w14:schemeClr w14:val="tx1"/>
                  </w14:solidFill>
                </w14:textFill>
              </w:rPr>
              <w:t>4s,下降：2</w:t>
            </w:r>
            <w:r>
              <w:rPr>
                <w:rFonts w:hint="eastAsia" w:ascii="微软雅黑" w:hAnsi="微软雅黑" w:eastAsia="微软雅黑" w:cs="微软雅黑"/>
                <w:color w:val="000000" w:themeColor="text1"/>
                <w:sz w:val="16"/>
                <w:szCs w:val="16"/>
                <w14:textFill>
                  <w14:solidFill>
                    <w14:schemeClr w14:val="tx1"/>
                  </w14:solidFill>
                </w14:textFill>
              </w:rPr>
              <w:t>~</w:t>
            </w:r>
            <w:r>
              <w:rPr>
                <w:rFonts w:hint="eastAsia" w:ascii="微软雅黑" w:hAnsi="微软雅黑" w:eastAsia="微软雅黑" w:cs="微软雅黑"/>
                <w:color w:val="000000" w:themeColor="text1"/>
                <w:kern w:val="0"/>
                <w:sz w:val="16"/>
                <w:szCs w:val="16"/>
                <w14:textFill>
                  <w14:solidFill>
                    <w14:schemeClr w14:val="tx1"/>
                  </w14:solidFill>
                </w14:textFill>
              </w:rPr>
              <w:t>4s；</w:t>
            </w:r>
          </w:p>
          <w:p>
            <w:pPr>
              <w:spacing w:line="320" w:lineRule="exact"/>
              <w:jc w:val="left"/>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7、工作环境温度：-30~55℃；工作环境湿度：90%，无凝露；</w:t>
            </w:r>
          </w:p>
          <w:p>
            <w:pPr>
              <w:spacing w:line="320" w:lineRule="exact"/>
              <w:jc w:val="left"/>
              <w:rPr>
                <w:rFonts w:eastAsia="微软雅黑"/>
              </w:rPr>
            </w:pPr>
            <w:r>
              <w:rPr>
                <w:rFonts w:hint="eastAsia" w:ascii="微软雅黑" w:hAnsi="微软雅黑" w:eastAsia="微软雅黑" w:cs="微软雅黑"/>
                <w:color w:val="000000" w:themeColor="text1"/>
                <w:kern w:val="0"/>
                <w:sz w:val="16"/>
                <w:szCs w:val="16"/>
                <w14:textFill>
                  <w14:solidFill>
                    <w14:schemeClr w14:val="tx1"/>
                  </w14:solidFill>
                </w14:textFill>
              </w:rPr>
              <w:t>8、警示方式要求：柱体顶端有蓝白色反光标示带及蓝色LED警示灯带，灯带需加亚克力或塑料灯盘保护；</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10、路障主体底部应有排水设计，应可有效排水；排水管口直径≥φ50mm,排水管口壁厚≥4mm；；</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11、路障主体应具备可拆卸结构设计，预埋桶和路障动力系统后续可拆卸分离进行维修维护（</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需提供带有“CNAS”和“CMA”标志的检测报告佐证</w:t>
            </w:r>
            <w:r>
              <w:rPr>
                <w:rFonts w:hint="eastAsia" w:ascii="微软雅黑" w:hAnsi="微软雅黑" w:eastAsia="微软雅黑" w:cs="微软雅黑"/>
                <w:color w:val="000000" w:themeColor="text1"/>
                <w:kern w:val="0"/>
                <w:sz w:val="16"/>
                <w:szCs w:val="16"/>
                <w14:textFill>
                  <w14:solidFill>
                    <w14:schemeClr w14:val="tx1"/>
                  </w14:solidFill>
                </w14:textFill>
              </w:rPr>
              <w:t>）；</w:t>
            </w:r>
          </w:p>
          <w:p>
            <w:pPr>
              <w:widowControl/>
              <w:spacing w:line="320" w:lineRule="exact"/>
              <w:jc w:val="left"/>
              <w:rPr>
                <w:rFonts w:hint="eastAsia" w:ascii="微软雅黑" w:hAnsi="微软雅黑" w:eastAsia="微软雅黑" w:cs="微软雅黑"/>
                <w:color w:val="000000" w:themeColor="text1"/>
                <w:kern w:val="0"/>
                <w:sz w:val="16"/>
                <w:szCs w:val="16"/>
                <w:lang w:eastAsia="zh-CN"/>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12、路障阻挡主体在升起或下降时可以紧急停止；路障阻挡主体遇到停电时，配有应急电源用于紧急下降，应急电源容量应大于等于12V/7.5Ah</w:t>
            </w:r>
            <w:r>
              <w:rPr>
                <w:rFonts w:hint="eastAsia" w:ascii="微软雅黑" w:hAnsi="微软雅黑" w:eastAsia="微软雅黑" w:cs="微软雅黑"/>
                <w:color w:val="000000" w:themeColor="text1"/>
                <w:kern w:val="0"/>
                <w:sz w:val="16"/>
                <w:szCs w:val="16"/>
                <w:lang w:eastAsia="zh-CN"/>
                <w14:textFill>
                  <w14:solidFill>
                    <w14:schemeClr w14:val="tx1"/>
                  </w14:solidFill>
                </w14:textFill>
              </w:rPr>
              <w:t>；</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13、路障阻挡主体应能正常升降、无卡滞、到位可靠；内部升降行程导柱数量应大于等于3根；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100" w:type="dxa"/>
            <w:vAlign w:val="center"/>
          </w:tcPr>
          <w:p>
            <w:pPr>
              <w:keepNext w:val="0"/>
              <w:keepLines w:val="0"/>
              <w:widowControl/>
              <w:suppressLineNumbers w:val="0"/>
              <w:jc w:val="left"/>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p>
        </w:tc>
        <w:tc>
          <w:tcPr>
            <w:tcW w:w="1362" w:type="dxa"/>
            <w:vAlign w:val="center"/>
          </w:tcPr>
          <w:p>
            <w:pPr>
              <w:widowControl/>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5"/>
                <w:szCs w:val="15"/>
                <w14:textFill>
                  <w14:solidFill>
                    <w14:schemeClr w14:val="tx1"/>
                  </w14:solidFill>
                </w14:textFill>
              </w:rPr>
              <w:t>产品材料及工艺规范要求</w:t>
            </w: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1、柱体防腐性能：防撞柱阻挡主体应进行防锈处理，符合GA/T 1343-2016行业标准，升降地柱柱体耐腐蚀等级应≥7级；</w:t>
            </w:r>
          </w:p>
          <w:p>
            <w:pPr>
              <w:widowControl/>
              <w:numPr>
                <w:ilvl w:val="0"/>
                <w:numId w:val="3"/>
              </w:num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防撞柱柱体和顶盖采用304不锈钢，带有厂商名称，产品型号、品牌、生产日期、执行标准等字样，表面无明显变形和划痕，无锈迹；</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3、阻挡主体外壳表面应无锈蚀，无裂痕，褪色及永久污迹，亦无明显变形和划痕，金属外壳表面采</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用喷涂工艺的，应不能漏出金属底层，并无起泡、腐蚀、划痕、图层脱落和沙孔等；</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4、电控箱箱材质：为SUS304不锈钢、喷塑或烤漆（可选）；</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5、法兰防腐：为SUS304不锈钢；</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6、隔离护圈：运动柱体与地埋柱体之间应设置非金属材质的隔离护圈，以避免地面面板刮花运动柱体。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100" w:type="dxa"/>
            <w:vMerge w:val="restart"/>
            <w:vAlign w:val="center"/>
          </w:tcPr>
          <w:p>
            <w:pPr>
              <w:keepNext w:val="0"/>
              <w:keepLines w:val="0"/>
              <w:widowControl/>
              <w:suppressLineNumbers w:val="0"/>
              <w:jc w:val="left"/>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p>
        </w:tc>
        <w:tc>
          <w:tcPr>
            <w:tcW w:w="1362" w:type="dxa"/>
            <w:vMerge w:val="restart"/>
            <w:vAlign w:val="center"/>
          </w:tcPr>
          <w:p>
            <w:pPr>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5"/>
                <w:szCs w:val="15"/>
                <w14:textFill>
                  <w14:solidFill>
                    <w14:schemeClr w14:val="tx1"/>
                  </w14:solidFill>
                </w14:textFill>
              </w:rPr>
              <w:t>产品安全性要求</w:t>
            </w:r>
          </w:p>
        </w:tc>
        <w:tc>
          <w:tcPr>
            <w:tcW w:w="5625" w:type="dxa"/>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1、阻挡高度：路障阻挡主体升起后的有效高度应≥600mm（需提供公安部B3级检测报告）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pPr>
            <w:bookmarkStart w:id="30" w:name="_GoBack" w:colFirst="3" w:colLast="3"/>
          </w:p>
        </w:tc>
        <w:tc>
          <w:tcPr>
            <w:tcW w:w="1100" w:type="dxa"/>
            <w:vMerge w:val="continue"/>
            <w:vAlign w:val="center"/>
          </w:tcPr>
          <w:p>
            <w:pPr>
              <w:widowControl/>
              <w:spacing w:line="320" w:lineRule="exact"/>
              <w:jc w:val="left"/>
            </w:pPr>
          </w:p>
        </w:tc>
        <w:tc>
          <w:tcPr>
            <w:tcW w:w="1362" w:type="dxa"/>
            <w:vMerge w:val="continue"/>
            <w:vAlign w:val="center"/>
          </w:tcPr>
          <w:p>
            <w:pPr>
              <w:widowControl/>
              <w:spacing w:line="320" w:lineRule="exact"/>
              <w:jc w:val="left"/>
            </w:pP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2、升降性能：</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2.1、路障阻挡主体应能正常升降、无卡滞、到位可靠；升起速度≥150mm/s（需提供公安部B3级检测报告）；</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2.2、在外部供电停止状态下，应自备电源或具有手动下降功能（需提供公安部B3级检测报告）；</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3、警示标示：路障阻挡主体上应具有明显的警示标示，且具有夜间警示功能（需提供公安部B3级检测报告）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4、阻挡性能：</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4.1、碰撞能量：应达到车辆质量6800kg以65km/h的碰撞速度通过时，碰撞能量达到1108KJ（需提供公安部B3级检测报告）；</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4.2、侵入距离：车辆侵入距离需≤15.2米（需提供公安部B3级检测报告）；</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4.3、阻挡能量等级：车辆碰撞升降柱后，车辆应失去继续行驶能力，路障应保持阻挡状态，阻挡能量等级达到B3（需提供公安部B3级检测报告）；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5、电控制系统安全性：</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5.1、抗电强度应符合GB 16796-2009中5.4.3的规定（需提供公安部B3级检测报告）；</w:t>
            </w:r>
          </w:p>
          <w:p>
            <w:pPr>
              <w:widowControl/>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5.2、绝缘电阻应符合GB 16796-2009中5.4.4的规定；（需提供公安部B3级检测报告）；</w:t>
            </w:r>
          </w:p>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 xml:space="preserve">5.3、泄露电流应符合GB 167·96-2009中5.4.6的规定（需提供公安部B3级检测报告）；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6、电磁兼容性：</w:t>
            </w:r>
          </w:p>
          <w:p>
            <w:pPr>
              <w:spacing w:line="320" w:lineRule="exact"/>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6.1、放电抗扰度应符合GB/T 30148-2013中的9.3.4的规定（需提供公安部B3级检测报告）；</w:t>
            </w:r>
          </w:p>
          <w:p>
            <w:pPr>
              <w:spacing w:line="320" w:lineRule="exact"/>
              <w:ind w:left="160" w:hanging="160" w:hangingChars="100"/>
              <w:jc w:val="left"/>
              <w:rPr>
                <w:rFonts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6.2、电速瞬变脉冲群抗扰度应符合GB/T 30148-2013中12.3.4的规定（需提供公安部B3级检测报告）；</w:t>
            </w:r>
          </w:p>
          <w:p>
            <w:pPr>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6.3浪涌（冲击）抗扰度应符合GB/T 3014-2013中13.3.4的规定（需提供公安部B3级检测报告）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sz w:val="16"/>
                <w:szCs w:val="16"/>
                <w14:textFill>
                  <w14:solidFill>
                    <w14:schemeClr w14:val="tx1"/>
                  </w14:solidFill>
                </w14:textFill>
              </w:rPr>
              <w:t>7、</w:t>
            </w:r>
            <w:r>
              <w:rPr>
                <w:rFonts w:hint="eastAsia" w:ascii="微软雅黑" w:hAnsi="微软雅黑" w:eastAsia="微软雅黑" w:cs="微软雅黑"/>
                <w:color w:val="000000" w:themeColor="text1"/>
                <w:kern w:val="0"/>
                <w:sz w:val="16"/>
                <w:szCs w:val="16"/>
                <w14:textFill>
                  <w14:solidFill>
                    <w14:schemeClr w14:val="tx1"/>
                  </w14:solidFill>
                </w14:textFill>
              </w:rPr>
              <w:t>侵水性能：路桩阻挡主体在侵水状态下无漏电现象，且能正常升降，</w:t>
            </w:r>
            <w:r>
              <w:rPr>
                <w:rFonts w:hint="eastAsia" w:ascii="微软雅黑" w:hAnsi="微软雅黑" w:eastAsia="微软雅黑" w:cs="微软雅黑"/>
                <w:color w:val="000000" w:themeColor="text1"/>
                <w:sz w:val="16"/>
                <w:szCs w:val="16"/>
                <w14:textFill>
                  <w14:solidFill>
                    <w14:schemeClr w14:val="tx1"/>
                  </w14:solidFill>
                </w14:textFill>
              </w:rPr>
              <w:t>符合GA/T 1343-2016行业标准</w:t>
            </w:r>
            <w:r>
              <w:rPr>
                <w:rFonts w:hint="eastAsia" w:ascii="微软雅黑" w:hAnsi="微软雅黑" w:eastAsia="微软雅黑" w:cs="微软雅黑"/>
                <w:color w:val="000000" w:themeColor="text1"/>
                <w:kern w:val="0"/>
                <w:sz w:val="16"/>
                <w:szCs w:val="16"/>
                <w14:textFill>
                  <w14:solidFill>
                    <w14:schemeClr w14:val="tx1"/>
                  </w14:solidFill>
                </w14:textFill>
              </w:rPr>
              <w:t>（需提供公安部B3级检测报告）；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kern w:val="0"/>
                <w:sz w:val="16"/>
                <w:szCs w:val="16"/>
                <w14:textFill>
                  <w14:solidFill>
                    <w14:schemeClr w14:val="tx1"/>
                  </w14:solidFill>
                </w14:textFill>
              </w:rPr>
              <w:t>8、</w:t>
            </w:r>
            <w:r>
              <w:rPr>
                <w:rFonts w:hint="eastAsia" w:ascii="微软雅黑" w:hAnsi="微软雅黑" w:eastAsia="微软雅黑" w:cs="微软雅黑"/>
                <w:color w:val="000000" w:themeColor="text1"/>
                <w:sz w:val="16"/>
                <w:szCs w:val="16"/>
                <w14:textFill>
                  <w14:solidFill>
                    <w14:schemeClr w14:val="tx1"/>
                  </w14:solidFill>
                </w14:textFill>
              </w:rPr>
              <w:t>可靠性</w:t>
            </w:r>
            <w:r>
              <w:rPr>
                <w:rFonts w:hint="eastAsia" w:ascii="微软雅黑" w:hAnsi="微软雅黑" w:eastAsia="微软雅黑" w:cs="微软雅黑"/>
                <w:color w:val="000000" w:themeColor="text1"/>
                <w:kern w:val="0"/>
                <w:sz w:val="16"/>
                <w:szCs w:val="16"/>
                <w14:textFill>
                  <w14:solidFill>
                    <w14:schemeClr w14:val="tx1"/>
                  </w14:solidFill>
                </w14:textFill>
              </w:rPr>
              <w:t>：常温下，路障连续升降5000次应无停机及故障产生，且升降灵活、到位准确，</w:t>
            </w:r>
            <w:r>
              <w:rPr>
                <w:rFonts w:hint="eastAsia" w:ascii="微软雅黑" w:hAnsi="微软雅黑" w:eastAsia="微软雅黑" w:cs="微软雅黑"/>
                <w:color w:val="000000" w:themeColor="text1"/>
                <w:sz w:val="16"/>
                <w:szCs w:val="16"/>
                <w14:textFill>
                  <w14:solidFill>
                    <w14:schemeClr w14:val="tx1"/>
                  </w14:solidFill>
                </w14:textFill>
              </w:rPr>
              <w:t>符合GA/T 1343-2016行业标准</w:t>
            </w:r>
            <w:r>
              <w:rPr>
                <w:rFonts w:hint="eastAsia" w:ascii="微软雅黑" w:hAnsi="微软雅黑" w:eastAsia="微软雅黑" w:cs="微软雅黑"/>
                <w:color w:val="000000" w:themeColor="text1"/>
                <w:kern w:val="0"/>
                <w:sz w:val="16"/>
                <w:szCs w:val="16"/>
                <w14:textFill>
                  <w14:solidFill>
                    <w14:schemeClr w14:val="tx1"/>
                  </w14:solidFill>
                </w14:textFill>
              </w:rPr>
              <w:t>（需提供公安部B3级检测报告）；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684"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100"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1362" w:type="dxa"/>
            <w:vMerge w:val="continue"/>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p>
        </w:tc>
        <w:tc>
          <w:tcPr>
            <w:tcW w:w="5625" w:type="dxa"/>
            <w:vAlign w:val="center"/>
          </w:tcPr>
          <w:p>
            <w:pPr>
              <w:widowControl/>
              <w:spacing w:line="320" w:lineRule="exact"/>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rPr>
              <w:t>▲</w:t>
            </w:r>
            <w:r>
              <w:rPr>
                <w:rFonts w:hint="eastAsia" w:ascii="微软雅黑" w:hAnsi="微软雅黑" w:eastAsia="微软雅黑" w:cs="微软雅黑"/>
                <w:color w:val="000000" w:themeColor="text1"/>
                <w:sz w:val="16"/>
                <w:szCs w:val="16"/>
                <w14:textFill>
                  <w14:solidFill>
                    <w14:schemeClr w14:val="tx1"/>
                  </w14:solidFill>
                </w14:textFill>
              </w:rPr>
              <w:t>9、</w:t>
            </w:r>
            <w:r>
              <w:rPr>
                <w:rFonts w:hint="eastAsia" w:ascii="微软雅黑" w:hAnsi="微软雅黑" w:eastAsia="微软雅黑" w:cs="微软雅黑"/>
                <w:color w:val="000000" w:themeColor="text1"/>
                <w:kern w:val="0"/>
                <w:sz w:val="16"/>
                <w:szCs w:val="16"/>
                <w14:textFill>
                  <w14:solidFill>
                    <w14:schemeClr w14:val="tx1"/>
                  </w14:solidFill>
                </w14:textFill>
              </w:rPr>
              <w:t>环境适应性：低温达到-30℃±2℃时能够正常工作，高温达到+55℃±2℃时能够正常工作，应</w:t>
            </w:r>
            <w:r>
              <w:rPr>
                <w:rFonts w:hint="eastAsia" w:ascii="微软雅黑" w:hAnsi="微软雅黑" w:eastAsia="微软雅黑" w:cs="微软雅黑"/>
                <w:color w:val="000000" w:themeColor="text1"/>
                <w:sz w:val="16"/>
                <w:szCs w:val="16"/>
                <w14:textFill>
                  <w14:solidFill>
                    <w14:schemeClr w14:val="tx1"/>
                  </w14:solidFill>
                </w14:textFill>
              </w:rPr>
              <w:t>符合GA/T 1343-2016行业标准的5.4.1规定</w:t>
            </w:r>
            <w:r>
              <w:rPr>
                <w:rFonts w:hint="eastAsia" w:ascii="微软雅黑" w:hAnsi="微软雅黑" w:eastAsia="微软雅黑" w:cs="微软雅黑"/>
                <w:color w:val="000000" w:themeColor="text1"/>
                <w:kern w:val="0"/>
                <w:sz w:val="16"/>
                <w:szCs w:val="16"/>
                <w14:textFill>
                  <w14:solidFill>
                    <w14:schemeClr w14:val="tx1"/>
                  </w14:solidFill>
                </w14:textFill>
              </w:rPr>
              <w:t>（需提供公安部B3级检测报告）；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1100" w:type="dxa"/>
            <w:vAlign w:val="center"/>
          </w:tcPr>
          <w:p>
            <w:pPr>
              <w:keepNext w:val="0"/>
              <w:keepLines w:val="0"/>
              <w:widowControl/>
              <w:suppressLineNumbers w:val="0"/>
              <w:jc w:val="left"/>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r>
              <w:rPr>
                <w:rFonts w:hint="eastAsia" w:ascii="微软雅黑" w:hAnsi="微软雅黑" w:eastAsia="微软雅黑" w:cs="微软雅黑"/>
                <w:color w:val="000000" w:themeColor="text1"/>
                <w:kern w:val="0"/>
                <w:sz w:val="16"/>
                <w:szCs w:val="16"/>
                <w:lang w:val="en-US" w:eastAsia="zh-CN"/>
                <w14:textFill>
                  <w14:solidFill>
                    <w14:schemeClr w14:val="tx1"/>
                  </w14:solidFill>
                </w14:textFill>
              </w:rPr>
              <w:t>控制系统</w:t>
            </w:r>
          </w:p>
        </w:tc>
        <w:tc>
          <w:tcPr>
            <w:tcW w:w="1362" w:type="dxa"/>
            <w:vAlign w:val="center"/>
          </w:tcPr>
          <w:p>
            <w:pPr>
              <w:spacing w:line="320" w:lineRule="exact"/>
              <w:jc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微软雅黑" w:hAnsi="微软雅黑" w:eastAsia="微软雅黑" w:cs="微软雅黑"/>
                <w:color w:val="000000" w:themeColor="text1"/>
                <w:kern w:val="0"/>
                <w:sz w:val="15"/>
                <w:szCs w:val="15"/>
                <w14:textFill>
                  <w14:solidFill>
                    <w14:schemeClr w14:val="tx1"/>
                  </w14:solidFill>
                </w14:textFill>
              </w:rPr>
              <w:t>控制系统功能要求、以及产品智能化要求</w:t>
            </w:r>
          </w:p>
        </w:tc>
        <w:tc>
          <w:tcPr>
            <w:tcW w:w="5625" w:type="dxa"/>
            <w:vAlign w:val="center"/>
          </w:tcPr>
          <w:p>
            <w:pPr>
              <w:numPr>
                <w:numId w:val="0"/>
              </w:numPr>
              <w:spacing w:line="320" w:lineRule="exact"/>
              <w:jc w:val="left"/>
              <w:rPr>
                <w:rFonts w:ascii="微软雅黑" w:hAnsi="微软雅黑" w:eastAsia="微软雅黑" w:cs="微软雅黑"/>
                <w:color w:val="000000" w:themeColor="text1"/>
                <w:sz w:val="16"/>
                <w:szCs w:val="16"/>
                <w:highlight w:val="none"/>
                <w14:textFill>
                  <w14:solidFill>
                    <w14:schemeClr w14:val="tx1"/>
                  </w14:solidFill>
                </w14:textFill>
              </w:rPr>
            </w:pPr>
            <w:r>
              <w:rPr>
                <w:rFonts w:hint="eastAsia"/>
              </w:rPr>
              <w:t>▲</w:t>
            </w:r>
            <w:r>
              <w:rPr>
                <w:rFonts w:hint="eastAsia"/>
                <w:lang w:val="en-US" w:eastAsia="zh-CN"/>
              </w:rPr>
              <w:t>1、</w:t>
            </w:r>
            <w:r>
              <w:rPr>
                <w:rFonts w:hint="eastAsia" w:ascii="微软雅黑" w:hAnsi="微软雅黑" w:eastAsia="微软雅黑" w:cs="微软雅黑"/>
                <w:color w:val="000000" w:themeColor="text1"/>
                <w:sz w:val="16"/>
                <w:szCs w:val="16"/>
                <w14:textFill>
                  <w14:solidFill>
                    <w14:schemeClr w14:val="tx1"/>
                  </w14:solidFill>
                </w14:textFill>
              </w:rPr>
              <w:t>应采用单片机控制，便于系统联动，如：声光报警、车牌识别、道闸、门禁、蓝牙、红外、监控、红绿灯、潮汐车道、人脸识别等系统联</w:t>
            </w:r>
            <w:r>
              <w:rPr>
                <w:rFonts w:hint="eastAsia" w:ascii="微软雅黑" w:hAnsi="微软雅黑" w:eastAsia="微软雅黑" w:cs="微软雅黑"/>
                <w:color w:val="000000" w:themeColor="text1"/>
                <w:sz w:val="16"/>
                <w:szCs w:val="16"/>
                <w:highlight w:val="none"/>
                <w14:textFill>
                  <w14:solidFill>
                    <w14:schemeClr w14:val="tx1"/>
                  </w14:solidFill>
                </w14:textFill>
              </w:rPr>
              <w:t>动</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（需提供带有“CNAS”和“CMA”标志的检测报告佐证）；</w:t>
            </w:r>
          </w:p>
          <w:p>
            <w:pPr>
              <w:numPr>
                <w:numId w:val="0"/>
              </w:numPr>
              <w:spacing w:line="320" w:lineRule="exact"/>
              <w:jc w:val="left"/>
              <w:rPr>
                <w:rFonts w:ascii="微软雅黑" w:hAnsi="微软雅黑" w:eastAsia="微软雅黑" w:cs="微软雅黑"/>
                <w:color w:val="000000" w:themeColor="text1"/>
                <w:sz w:val="16"/>
                <w:szCs w:val="16"/>
                <w:highlight w:val="none"/>
                <w14:textFill>
                  <w14:solidFill>
                    <w14:schemeClr w14:val="tx1"/>
                  </w14:solidFill>
                </w14:textFill>
              </w:rPr>
            </w:pPr>
            <w:r>
              <w:rPr>
                <w:rFonts w:hint="eastAsia"/>
                <w:highlight w:val="none"/>
              </w:rPr>
              <w:t>▲</w:t>
            </w:r>
            <w:r>
              <w:rPr>
                <w:rFonts w:hint="eastAsia"/>
                <w:highlight w:val="none"/>
                <w:lang w:val="en-US" w:eastAsia="zh-CN"/>
              </w:rPr>
              <w:t>2、</w:t>
            </w:r>
            <w:r>
              <w:rPr>
                <w:rFonts w:hint="eastAsia" w:ascii="微软雅黑" w:hAnsi="微软雅黑" w:eastAsia="微软雅黑" w:cs="微软雅黑"/>
                <w:color w:val="000000" w:themeColor="text1"/>
                <w:sz w:val="16"/>
                <w:szCs w:val="16"/>
                <w:highlight w:val="none"/>
                <w14:textFill>
                  <w14:solidFill>
                    <w14:schemeClr w14:val="tx1"/>
                  </w14:solidFill>
                </w14:textFill>
              </w:rPr>
              <w:t>警示灯可通过加装七彩灯条控制模块，通过灯条遥控器，设置七彩灯条颜色随意互换，闪烁频率随意互换，亮度可设置</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（需提供带有“CNAS”和“CMA”标志的检测报告佐证）</w:t>
            </w:r>
            <w:r>
              <w:rPr>
                <w:rFonts w:hint="eastAsia" w:ascii="微软雅黑" w:hAnsi="微软雅黑" w:eastAsia="微软雅黑" w:cs="微软雅黑"/>
                <w:color w:val="000000" w:themeColor="text1"/>
                <w:sz w:val="16"/>
                <w:szCs w:val="16"/>
                <w:highlight w:val="none"/>
                <w14:textFill>
                  <w14:solidFill>
                    <w14:schemeClr w14:val="tx1"/>
                  </w14:solidFill>
                </w14:textFill>
              </w:rPr>
              <w:t>；</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3、远程控制：通过手机app实现远程操作控制升降；</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4、可通过无线遥控方式，对进行升、降、停控制，有效距离大于等于100米。（空旷无干扰）；</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5、防护等级：电控箱防护等级IP54，可防液体泼溅，能够在室外环境安装</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6、电控箱系统可扩展加装防雷器，加装后应起到防雷作用。；</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ascii="微软雅黑" w:hAnsi="微软雅黑" w:eastAsia="微软雅黑" w:cs="微软雅黑"/>
                <w:color w:val="000000" w:themeColor="text1"/>
                <w:kern w:val="0"/>
                <w:sz w:val="16"/>
                <w:szCs w:val="16"/>
                <w:highlight w:val="none"/>
                <w14:textFill>
                  <w14:solidFill>
                    <w14:schemeClr w14:val="tx1"/>
                  </w14:solidFill>
                </w14:textFill>
              </w:rPr>
              <w:t>7、控制系统外壳防护等级需达到IP66</w:t>
            </w:r>
          </w:p>
          <w:p>
            <w:pPr>
              <w:widowControl/>
              <w:spacing w:line="320" w:lineRule="exact"/>
              <w:jc w:val="left"/>
              <w:rPr>
                <w:rFonts w:ascii="微软雅黑" w:hAnsi="微软雅黑" w:eastAsia="微软雅黑" w:cs="微软雅黑"/>
                <w:color w:val="000000" w:themeColor="text1"/>
                <w:kern w:val="0"/>
                <w:sz w:val="16"/>
                <w:szCs w:val="16"/>
                <w:highlight w:val="none"/>
                <w14:textFill>
                  <w14:solidFill>
                    <w14:schemeClr w14:val="tx1"/>
                  </w14:solidFill>
                </w14:textFill>
              </w:rPr>
            </w:pPr>
            <w:r>
              <w:rPr>
                <w:rFonts w:hint="eastAsia"/>
                <w:highlight w:val="none"/>
              </w:rPr>
              <w:t>▲</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8、时间控制功能：控制系统可自由设置路障上升或下降时间，确保路障完全到位（需提供带有“CNAS”和“CMA”标志的检测报告佐证）：</w:t>
            </w:r>
          </w:p>
          <w:p>
            <w:pPr>
              <w:widowControl/>
              <w:spacing w:line="320" w:lineRule="exact"/>
              <w:jc w:val="left"/>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highlight w:val="none"/>
              </w:rPr>
              <w:t>▲</w:t>
            </w:r>
            <w:r>
              <w:rPr>
                <w:rFonts w:hint="eastAsia" w:ascii="微软雅黑" w:hAnsi="微软雅黑" w:eastAsia="微软雅黑" w:cs="微软雅黑"/>
                <w:color w:val="000000" w:themeColor="text1"/>
                <w:kern w:val="0"/>
                <w:sz w:val="16"/>
                <w:szCs w:val="16"/>
                <w:highlight w:val="none"/>
                <w14:textFill>
                  <w14:solidFill>
                    <w14:schemeClr w14:val="tx1"/>
                  </w14:solidFill>
                </w14:textFill>
              </w:rPr>
              <w:t>9、工作噪音：≤41分贝（需提供带有“CNAS”和“CMA”标志的检测报告佐证）；</w:t>
            </w:r>
          </w:p>
        </w:tc>
      </w:tr>
    </w:tbl>
    <w:p/>
    <w:p>
      <w:pPr>
        <w:pStyle w:val="7"/>
        <w:spacing w:before="120" w:beforeLines="50" w:after="120" w:afterLines="50"/>
        <w:rPr>
          <w:rFonts w:ascii="宋体" w:hAnsi="宋体" w:cs="宋体"/>
          <w:b/>
        </w:rPr>
      </w:pPr>
      <w:r>
        <w:rPr>
          <w:rFonts w:hint="eastAsia" w:cs="宋体"/>
          <w:szCs w:val="28"/>
          <w:lang w:val="en-US" w:eastAsia="zh-CN"/>
        </w:rPr>
        <w:t>五</w:t>
      </w:r>
      <w:r>
        <w:rPr>
          <w:rFonts w:hint="eastAsia" w:cs="宋体"/>
          <w:szCs w:val="28"/>
        </w:rPr>
        <w:t>、商务需求</w:t>
      </w:r>
    </w:p>
    <w:tbl>
      <w:tblPr>
        <w:tblStyle w:val="40"/>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7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jc w:val="center"/>
              <w:rPr>
                <w:rFonts w:ascii="宋体" w:hAnsi="宋体" w:cs="宋体"/>
                <w:b/>
              </w:rPr>
            </w:pPr>
            <w:r>
              <w:rPr>
                <w:rFonts w:hint="eastAsia" w:ascii="宋体" w:hAnsi="宋体" w:cs="宋体"/>
                <w:b/>
              </w:rPr>
              <w:t>序号</w:t>
            </w:r>
          </w:p>
        </w:tc>
        <w:tc>
          <w:tcPr>
            <w:tcW w:w="1575" w:type="dxa"/>
            <w:vAlign w:val="center"/>
          </w:tcPr>
          <w:p>
            <w:pPr>
              <w:jc w:val="center"/>
              <w:rPr>
                <w:rFonts w:ascii="宋体" w:hAnsi="宋体" w:cs="宋体"/>
                <w:b/>
              </w:rPr>
            </w:pPr>
            <w:r>
              <w:rPr>
                <w:rFonts w:hint="eastAsia" w:ascii="宋体" w:hAnsi="宋体" w:cs="宋体"/>
                <w:b/>
              </w:rPr>
              <w:t>目录</w:t>
            </w:r>
          </w:p>
        </w:tc>
        <w:tc>
          <w:tcPr>
            <w:tcW w:w="6075"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6"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jc w:val="center"/>
              <w:rPr>
                <w:rFonts w:ascii="宋体" w:hAnsi="宋体" w:cs="宋体"/>
                <w:b/>
              </w:rPr>
            </w:pPr>
            <w:r>
              <w:rPr>
                <w:rFonts w:hint="eastAsia" w:ascii="宋体" w:hAnsi="宋体" w:cs="宋体"/>
                <w:b/>
              </w:rPr>
              <w:t>1</w:t>
            </w:r>
          </w:p>
        </w:tc>
        <w:tc>
          <w:tcPr>
            <w:tcW w:w="1575" w:type="dxa"/>
            <w:vAlign w:val="center"/>
          </w:tcPr>
          <w:p>
            <w:pPr>
              <w:rPr>
                <w:rFonts w:ascii="宋体" w:hAnsi="宋体" w:cs="宋体"/>
              </w:rPr>
            </w:pPr>
            <w:r>
              <w:rPr>
                <w:rFonts w:hint="eastAsia" w:ascii="宋体" w:hAnsi="宋体" w:cs="宋体"/>
              </w:rPr>
              <w:t>免费保修期</w:t>
            </w:r>
          </w:p>
        </w:tc>
        <w:tc>
          <w:tcPr>
            <w:tcW w:w="6075"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jc w:val="center"/>
              <w:rPr>
                <w:rFonts w:ascii="宋体" w:hAnsi="宋体" w:cs="宋体"/>
                <w:b/>
              </w:rPr>
            </w:pPr>
            <w:r>
              <w:rPr>
                <w:rFonts w:hint="eastAsia" w:ascii="宋体" w:hAnsi="宋体" w:cs="宋体"/>
                <w:b/>
              </w:rPr>
              <w:t>2</w:t>
            </w:r>
          </w:p>
        </w:tc>
        <w:tc>
          <w:tcPr>
            <w:tcW w:w="1575" w:type="dxa"/>
          </w:tcPr>
          <w:p>
            <w:pPr>
              <w:rPr>
                <w:rFonts w:ascii="宋体" w:hAnsi="宋体" w:cs="宋体"/>
              </w:rPr>
            </w:pPr>
            <w:r>
              <w:rPr>
                <w:rFonts w:hint="eastAsia" w:ascii="宋体" w:hAnsi="宋体" w:cs="宋体"/>
              </w:rPr>
              <w:t>维修响应及故障解决时间</w:t>
            </w:r>
          </w:p>
        </w:tc>
        <w:tc>
          <w:tcPr>
            <w:tcW w:w="6075"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jc w:val="center"/>
              <w:rPr>
                <w:rFonts w:ascii="宋体" w:hAnsi="宋体" w:cs="宋体"/>
                <w:b/>
              </w:rPr>
            </w:pPr>
            <w:r>
              <w:rPr>
                <w:rFonts w:hint="eastAsia" w:ascii="宋体" w:hAnsi="宋体" w:cs="宋体"/>
                <w:b/>
              </w:rPr>
              <w:t>3</w:t>
            </w:r>
          </w:p>
        </w:tc>
        <w:tc>
          <w:tcPr>
            <w:tcW w:w="1575" w:type="dxa"/>
            <w:vAlign w:val="center"/>
          </w:tcPr>
          <w:p>
            <w:pPr>
              <w:rPr>
                <w:rFonts w:ascii="宋体" w:hAnsi="宋体" w:cs="宋体"/>
                <w:b/>
              </w:rPr>
            </w:pPr>
            <w:r>
              <w:rPr>
                <w:rFonts w:hint="eastAsia" w:ascii="宋体" w:hAnsi="宋体" w:cs="宋体"/>
              </w:rPr>
              <w:t>其他</w:t>
            </w:r>
          </w:p>
        </w:tc>
        <w:tc>
          <w:tcPr>
            <w:tcW w:w="6075"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6"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restart"/>
            <w:vAlign w:val="center"/>
          </w:tcPr>
          <w:p>
            <w:pPr>
              <w:jc w:val="center"/>
              <w:rPr>
                <w:rFonts w:ascii="宋体" w:hAnsi="宋体" w:cs="宋体"/>
                <w:b/>
              </w:rPr>
            </w:pPr>
            <w:r>
              <w:rPr>
                <w:rFonts w:hint="eastAsia" w:ascii="宋体" w:hAnsi="宋体" w:cs="宋体"/>
                <w:b/>
              </w:rPr>
              <w:t>1</w:t>
            </w:r>
          </w:p>
        </w:tc>
        <w:tc>
          <w:tcPr>
            <w:tcW w:w="1575" w:type="dxa"/>
            <w:vMerge w:val="restart"/>
            <w:vAlign w:val="center"/>
          </w:tcPr>
          <w:p>
            <w:pPr>
              <w:jc w:val="center"/>
              <w:rPr>
                <w:rFonts w:ascii="宋体" w:hAnsi="宋体" w:cs="宋体"/>
              </w:rPr>
            </w:pPr>
            <w:r>
              <w:rPr>
                <w:rFonts w:hint="eastAsia" w:ascii="宋体" w:hAnsi="宋体" w:cs="宋体"/>
              </w:rPr>
              <w:t>关于交货</w:t>
            </w:r>
          </w:p>
        </w:tc>
        <w:tc>
          <w:tcPr>
            <w:tcW w:w="6075"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6" w:type="dxa"/>
            <w:vMerge w:val="continue"/>
            <w:vAlign w:val="center"/>
          </w:tcPr>
          <w:p>
            <w:pPr>
              <w:jc w:val="center"/>
              <w:rPr>
                <w:rFonts w:ascii="宋体" w:hAnsi="宋体" w:cs="宋体"/>
                <w:b/>
              </w:rPr>
            </w:pPr>
          </w:p>
        </w:tc>
        <w:tc>
          <w:tcPr>
            <w:tcW w:w="1575" w:type="dxa"/>
            <w:vMerge w:val="continue"/>
            <w:vAlign w:val="center"/>
          </w:tcPr>
          <w:p>
            <w:pPr>
              <w:jc w:val="center"/>
              <w:rPr>
                <w:rFonts w:ascii="宋体" w:hAnsi="宋体" w:cs="宋体"/>
              </w:rPr>
            </w:pPr>
          </w:p>
        </w:tc>
        <w:tc>
          <w:tcPr>
            <w:tcW w:w="6075"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6" w:type="dxa"/>
            <w:vMerge w:val="restart"/>
            <w:vAlign w:val="center"/>
          </w:tcPr>
          <w:p>
            <w:pPr>
              <w:jc w:val="center"/>
              <w:rPr>
                <w:rFonts w:ascii="宋体" w:hAnsi="宋体" w:cs="宋体"/>
                <w:b/>
              </w:rPr>
            </w:pPr>
            <w:r>
              <w:rPr>
                <w:rFonts w:hint="eastAsia" w:ascii="宋体" w:hAnsi="宋体" w:cs="宋体"/>
                <w:b/>
              </w:rPr>
              <w:t>2</w:t>
            </w:r>
          </w:p>
        </w:tc>
        <w:tc>
          <w:tcPr>
            <w:tcW w:w="1575" w:type="dxa"/>
            <w:vMerge w:val="restart"/>
            <w:vAlign w:val="center"/>
          </w:tcPr>
          <w:p>
            <w:pPr>
              <w:jc w:val="center"/>
              <w:rPr>
                <w:rFonts w:ascii="宋体" w:hAnsi="宋体" w:cs="宋体"/>
              </w:rPr>
            </w:pPr>
            <w:r>
              <w:rPr>
                <w:rFonts w:hint="eastAsia" w:ascii="宋体" w:hAnsi="宋体" w:cs="宋体"/>
              </w:rPr>
              <w:t>关于验收</w:t>
            </w:r>
          </w:p>
        </w:tc>
        <w:tc>
          <w:tcPr>
            <w:tcW w:w="6075"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pPr>
              <w:jc w:val="center"/>
              <w:rPr>
                <w:rFonts w:ascii="宋体" w:hAnsi="宋体" w:cs="宋体"/>
                <w:b/>
              </w:rPr>
            </w:pPr>
          </w:p>
        </w:tc>
        <w:tc>
          <w:tcPr>
            <w:tcW w:w="1575" w:type="dxa"/>
            <w:vMerge w:val="continue"/>
          </w:tcPr>
          <w:p>
            <w:pPr>
              <w:rPr>
                <w:rFonts w:ascii="宋体" w:hAnsi="宋体" w:cs="宋体"/>
                <w:b/>
              </w:rPr>
            </w:pPr>
          </w:p>
        </w:tc>
        <w:tc>
          <w:tcPr>
            <w:tcW w:w="6075"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4"/>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仿宋_GB2312" w:eastAsia="仿宋_GB2312"/>
          <w:szCs w:val="21"/>
        </w:rPr>
      </w:pPr>
      <w:r>
        <w:rPr>
          <w:rFonts w:hint="eastAsia" w:ascii="仿宋_GB2312" w:eastAsia="仿宋_GB2312"/>
          <w:szCs w:val="21"/>
          <w:lang w:val="en-US" w:eastAsia="zh-CN"/>
        </w:rPr>
        <w:t>7</w:t>
      </w:r>
      <w:r>
        <w:rPr>
          <w:rFonts w:hint="eastAsia" w:ascii="仿宋_GB2312" w:eastAsia="仿宋_GB2312"/>
          <w:szCs w:val="21"/>
        </w:rPr>
        <w:t>、</w:t>
      </w:r>
      <w:r>
        <w:rPr>
          <w:rFonts w:hint="eastAsia" w:ascii="宋体" w:hAnsi="宋体"/>
          <w:szCs w:val="21"/>
        </w:rPr>
        <w:t>拟安排的项目负责人情况（仅限一人）（格式自定）</w:t>
      </w:r>
    </w:p>
    <w:p>
      <w:pPr>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、拟安排的项目主要团队成员（主要技术人员）情况（项目负责人除外）（格式自定）</w:t>
      </w:r>
    </w:p>
    <w:p>
      <w:pPr>
        <w:rPr>
          <w:rFonts w:hint="eastAsia" w:ascii="宋体" w:hAnsi="宋体" w:eastAsia="宋体" w:cs="Times New Roman"/>
          <w:szCs w:val="21"/>
          <w:lang w:eastAsia="zh-CN"/>
        </w:rPr>
      </w:pPr>
      <w:r>
        <w:rPr>
          <w:rFonts w:hint="eastAsia" w:ascii="宋体" w:hAnsi="宋体" w:eastAsia="宋体" w:cs="Times New Roman"/>
          <w:szCs w:val="21"/>
        </w:rPr>
        <w:t>9、项目实施方案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任务分析、项目管理架构、进度安排、质量保障措施等</w:t>
      </w:r>
      <w:r>
        <w:rPr>
          <w:rFonts w:hint="eastAsia" w:ascii="宋体" w:hAnsi="宋体" w:eastAsia="宋体" w:cs="Times New Roman"/>
          <w:szCs w:val="21"/>
          <w:lang w:eastAsia="zh-CN"/>
        </w:rPr>
        <w:t>）</w:t>
      </w:r>
      <w:r>
        <w:rPr>
          <w:rFonts w:hint="eastAsia" w:ascii="宋体" w:hAnsi="宋体" w:eastAsia="宋体" w:cs="Times New Roman"/>
          <w:szCs w:val="21"/>
        </w:rPr>
        <w:t>（格式自定）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 w:val="21"/>
          <w:szCs w:val="21"/>
          <w:lang w:val="en-US" w:eastAsia="zh-CN"/>
        </w:rPr>
        <w:t>其它</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szCs w:val="21"/>
        </w:rPr>
        <w:t>项目完成（服务期满）后的服务承诺（格式自定）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szCs w:val="21"/>
        </w:rPr>
        <w:t>违约承诺（格式自定）</w:t>
      </w:r>
    </w:p>
    <w:p>
      <w:pPr>
        <w:numPr>
          <w:ilvl w:val="0"/>
          <w:numId w:val="0"/>
        </w:numPr>
        <w:rPr>
          <w:rFonts w:hint="eastAsia" w:ascii="宋体" w:hAnsi="宋体" w:eastAsia="宋体" w:cs="Times New Roman"/>
          <w:szCs w:val="21"/>
        </w:rPr>
      </w:pPr>
      <w:r>
        <w:rPr>
          <w:rFonts w:hint="eastAsia" w:ascii="宋体" w:hAnsi="宋体" w:eastAsia="宋体" w:cs="Times New Roman"/>
          <w:sz w:val="21"/>
          <w:szCs w:val="21"/>
          <w:lang w:val="en-US" w:eastAsia="zh-CN"/>
        </w:rPr>
        <w:t>（3）</w:t>
      </w:r>
      <w:r>
        <w:rPr>
          <w:rFonts w:hint="eastAsia" w:ascii="宋体" w:hAnsi="宋体" w:eastAsia="宋体" w:cs="Times New Roman"/>
          <w:szCs w:val="21"/>
        </w:rPr>
        <w:t>投标人自主知识产权产品（创新、设计）情况（格式自定）</w:t>
      </w:r>
    </w:p>
    <w:p>
      <w:pPr>
        <w:numPr>
          <w:ilvl w:val="0"/>
          <w:numId w:val="0"/>
        </w:num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4</w:t>
      </w:r>
      <w:r>
        <w:rPr>
          <w:rFonts w:hint="eastAsia" w:ascii="宋体" w:hAnsi="宋体" w:eastAsia="宋体" w:cs="Times New Roman"/>
          <w:szCs w:val="21"/>
        </w:rPr>
        <w:t>）项目拟使用的车辆、场地、工具、机器等情况（格式自定）</w:t>
      </w:r>
    </w:p>
    <w:p>
      <w:p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）其它招标文件要求的内容及投标人认为需要补充的内容（格式自定）</w:t>
      </w:r>
    </w:p>
    <w:p>
      <w:pPr>
        <w:pStyle w:val="9"/>
        <w:ind w:left="0" w:leftChars="0" w:firstLine="0" w:firstLineChars="0"/>
        <w:rPr>
          <w:rFonts w:ascii="宋体" w:hAnsi="宋体"/>
          <w:szCs w:val="21"/>
        </w:rPr>
      </w:pPr>
    </w:p>
    <w:p>
      <w:pPr>
        <w:pStyle w:val="9"/>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5"/>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5"/>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5"/>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spacing w:line="360" w:lineRule="auto"/>
        <w:ind w:firstLine="422" w:firstLineChars="200"/>
        <w:rPr>
          <w:rFonts w:hint="eastAsia"/>
          <w:b/>
        </w:rPr>
      </w:pP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pStyle w:val="2"/>
        <w:ind w:firstLine="0" w:firstLineChars="0"/>
        <w:rPr>
          <w:rFonts w:hint="eastAsia" w:ascii="宋体"/>
          <w:b w:val="0"/>
          <w:sz w:val="21"/>
          <w:szCs w:val="21"/>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六、投标人情况介绍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6"/>
        </w:numPr>
        <w:ind w:left="720" w:hanging="720"/>
        <w:outlineLvl w:val="3"/>
        <w:rPr>
          <w:rFonts w:hint="default"/>
          <w:b/>
          <w:bCs/>
          <w:sz w:val="24"/>
          <w:lang w:val="en-US" w:eastAsia="zh-CN"/>
        </w:rPr>
      </w:pPr>
      <w:r>
        <w:rPr>
          <w:rFonts w:hint="eastAsia"/>
          <w:b/>
          <w:bCs/>
          <w:sz w:val="24"/>
          <w:lang w:val="en-US" w:eastAsia="zh-CN"/>
        </w:rPr>
        <w:t>企业荣誉</w:t>
      </w:r>
    </w:p>
    <w:tbl>
      <w:tblPr>
        <w:tblStyle w:val="4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Cs/>
          <w:szCs w:val="21"/>
        </w:rPr>
      </w:pPr>
      <w:r>
        <w:rPr>
          <w:rFonts w:hint="eastAsia"/>
          <w:bCs/>
          <w:szCs w:val="21"/>
        </w:rPr>
        <w:t>提供中标通知书及合同扫描件</w:t>
      </w:r>
    </w:p>
    <w:p>
      <w:pPr>
        <w:rPr>
          <w:b/>
          <w:bCs/>
          <w:sz w:val="24"/>
        </w:rPr>
      </w:pPr>
    </w:p>
    <w:p>
      <w:pPr>
        <w:numPr>
          <w:ilvl w:val="0"/>
          <w:numId w:val="7"/>
        </w:numPr>
        <w:ind w:left="720" w:hanging="720"/>
        <w:outlineLvl w:val="3"/>
        <w:rPr>
          <w:b/>
          <w:bCs/>
          <w:sz w:val="24"/>
        </w:rPr>
      </w:pPr>
      <w:r>
        <w:rPr>
          <w:rFonts w:hint="eastAsia"/>
          <w:b/>
          <w:bCs/>
          <w:sz w:val="24"/>
          <w:lang w:val="en-US" w:eastAsia="zh-CN"/>
        </w:rPr>
        <w:t>同类项目业绩</w:t>
      </w:r>
    </w:p>
    <w:p>
      <w:pPr>
        <w:rPr>
          <w:rFonts w:hint="eastAsia"/>
          <w:b/>
          <w:bCs/>
          <w:sz w:val="24"/>
        </w:rPr>
      </w:pPr>
    </w:p>
    <w:p>
      <w:pPr>
        <w:rPr>
          <w:rFonts w:hint="eastAsia"/>
          <w:b/>
          <w:bCs/>
          <w:sz w:val="24"/>
        </w:rPr>
      </w:pPr>
    </w:p>
    <w:p>
      <w:pPr>
        <w:rPr>
          <w:rFonts w:hint="eastAsia"/>
          <w:b/>
          <w:bCs/>
          <w:sz w:val="24"/>
        </w:rPr>
      </w:pPr>
    </w:p>
    <w:p>
      <w:pPr>
        <w:rPr>
          <w:rFonts w:hint="eastAsia"/>
          <w:b/>
          <w:bCs/>
          <w:sz w:val="24"/>
        </w:rPr>
      </w:pPr>
      <w:r>
        <w:rPr>
          <w:rFonts w:hint="eastAsia"/>
          <w:b/>
          <w:bCs/>
          <w:sz w:val="24"/>
        </w:rPr>
        <w:br w:type="page"/>
      </w: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七、拟安排的项目负责人情况</w:t>
      </w:r>
    </w:p>
    <w:p>
      <w:pPr>
        <w:spacing w:after="60"/>
        <w:jc w:val="center"/>
        <w:rPr>
          <w:rFonts w:ascii="Arial" w:hAnsi="Arial" w:eastAsia="黑体" w:cs="Arial"/>
          <w:bCs/>
          <w:sz w:val="24"/>
          <w:szCs w:val="22"/>
        </w:rPr>
      </w:pPr>
      <w:r>
        <w:rPr>
          <w:rFonts w:hint="eastAsia" w:ascii="Arial" w:hAnsi="Arial" w:eastAsia="黑体" w:cs="Arial"/>
          <w:bCs/>
          <w:sz w:val="24"/>
          <w:szCs w:val="22"/>
        </w:rPr>
        <w:t>项目负责人简历表</w:t>
      </w:r>
    </w:p>
    <w:tbl>
      <w:tblPr>
        <w:tblStyle w:val="4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pPr>
              <w:spacing w:before="20" w:after="20"/>
              <w:jc w:val="center"/>
              <w:rPr>
                <w:rFonts w:ascii="Arial" w:hAnsi="宋体" w:cs="Arial"/>
                <w:szCs w:val="21"/>
              </w:rPr>
            </w:pPr>
          </w:p>
        </w:tc>
        <w:tc>
          <w:tcPr>
            <w:tcW w:w="3060" w:type="dxa"/>
            <w:gridSpan w:val="4"/>
            <w:noWrap w:val="0"/>
            <w:vAlign w:val="center"/>
          </w:tcPr>
          <w:p>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20" w:after="20"/>
              <w:jc w:val="center"/>
              <w:rPr>
                <w:rFonts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pPr>
              <w:spacing w:before="20" w:after="20"/>
              <w:jc w:val="center"/>
              <w:rPr>
                <w:rFonts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4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spacing w:line="360" w:lineRule="auto"/>
              <w:rPr>
                <w:b/>
                <w:bCs/>
                <w:szCs w:val="22"/>
              </w:rPr>
            </w:pPr>
          </w:p>
          <w:p>
            <w:pPr>
              <w:spacing w:line="360" w:lineRule="auto"/>
              <w:rPr>
                <w:b/>
                <w:bCs/>
                <w:szCs w:val="22"/>
              </w:rPr>
            </w:pPr>
          </w:p>
        </w:tc>
      </w:tr>
    </w:tbl>
    <w:p>
      <w:pPr>
        <w:jc w:val="both"/>
        <w:rPr>
          <w:rFonts w:hint="default"/>
          <w:lang w:val="en-US"/>
        </w:rPr>
      </w:pP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八、拟安排的项目主要团队成员（主要技术人员）情况</w:t>
      </w: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spacing w:after="60"/>
        <w:jc w:val="center"/>
        <w:rPr>
          <w:rFonts w:ascii="Arial" w:hAnsi="Arial" w:eastAsia="黑体" w:cs="Arial"/>
          <w:bCs/>
          <w:sz w:val="24"/>
          <w:szCs w:val="22"/>
        </w:rPr>
      </w:pPr>
      <w:r>
        <w:rPr>
          <w:rFonts w:hint="eastAsia" w:ascii="Arial" w:hAnsi="Arial" w:eastAsia="黑体" w:cs="Arial"/>
          <w:bCs/>
          <w:sz w:val="24"/>
          <w:szCs w:val="22"/>
        </w:rPr>
        <w:t xml:space="preserve">  项目团队成员简历表</w:t>
      </w:r>
    </w:p>
    <w:tbl>
      <w:tblPr>
        <w:tblStyle w:val="4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pPr>
              <w:spacing w:before="4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pStyle w:val="5"/>
        <w:jc w:val="both"/>
        <w:rPr>
          <w:rFonts w:hint="default" w:ascii="黑体" w:eastAsia="黑体"/>
          <w:bCs w:val="0"/>
          <w:sz w:val="28"/>
          <w:szCs w:val="28"/>
          <w:lang w:val="en-US"/>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九、项目实施方案</w:t>
      </w:r>
    </w:p>
    <w:p>
      <w:pPr>
        <w:rPr>
          <w:rFonts w:hint="eastAsia"/>
          <w:lang w:val="en-US" w:eastAsia="zh-CN"/>
        </w:rPr>
      </w:pPr>
      <w:r>
        <w:rPr>
          <w:rFonts w:hint="eastAsia"/>
          <w:lang w:val="en-US" w:eastAsia="zh-CN"/>
        </w:rPr>
        <w:t>项目实施方案应包含但不仅限于以下内容（任务分析、项目管理架构、进度安排、质量保障措施等）</w:t>
      </w:r>
    </w:p>
    <w:p>
      <w:pPr>
        <w:rPr>
          <w:rFonts w:hint="eastAsia"/>
          <w:lang w:val="en-US" w:eastAsia="zh-CN"/>
        </w:rPr>
      </w:pPr>
    </w:p>
    <w:p>
      <w:pPr>
        <w:rPr>
          <w:rFonts w:hint="eastAsia"/>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十、其它</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（1）项目完成（服务期满）后的服务承诺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（2）违约承诺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（3）投标人自主知识产权产品（创新、设计）情况</w:t>
      </w:r>
    </w:p>
    <w:p>
      <w:pPr>
        <w:numPr>
          <w:ilvl w:val="0"/>
          <w:numId w:val="8"/>
        </w:numPr>
        <w:rPr>
          <w:rFonts w:hint="eastAsia"/>
          <w:b w:val="0"/>
          <w:bCs/>
          <w:szCs w:val="21"/>
          <w:lang w:val="en-US" w:eastAsia="zh-CN"/>
        </w:rPr>
      </w:pPr>
      <w:r>
        <w:rPr>
          <w:rFonts w:hint="eastAsia"/>
          <w:b w:val="0"/>
          <w:bCs/>
          <w:szCs w:val="21"/>
          <w:lang w:val="en-US" w:eastAsia="zh-CN"/>
        </w:rPr>
        <w:t>项目拟使用的车辆、场地、工具、机器等情况</w:t>
      </w:r>
    </w:p>
    <w:p>
      <w:pPr>
        <w:numPr>
          <w:ilvl w:val="0"/>
          <w:numId w:val="8"/>
        </w:numPr>
        <w:rPr>
          <w:rFonts w:hint="default"/>
          <w:b w:val="0"/>
          <w:bCs/>
          <w:szCs w:val="21"/>
          <w:lang w:val="en-US" w:eastAsia="zh-CN"/>
        </w:rPr>
      </w:pPr>
      <w:r>
        <w:rPr>
          <w:rFonts w:hint="eastAsia"/>
          <w:b w:val="0"/>
          <w:bCs/>
          <w:szCs w:val="21"/>
          <w:lang w:val="en-US" w:eastAsia="zh-CN"/>
        </w:rPr>
        <w:t>其它招标文件要求的内容及投标人认为需要补充的内容</w:t>
      </w:r>
    </w:p>
    <w:p>
      <w:pPr>
        <w:numPr>
          <w:ilvl w:val="0"/>
          <w:numId w:val="0"/>
        </w:numPr>
        <w:rPr>
          <w:rFonts w:hint="default"/>
          <w:b w:val="0"/>
          <w:bCs/>
          <w:szCs w:val="21"/>
          <w:lang w:val="en-US" w:eastAsia="zh-CN"/>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A6EC5"/>
    <w:multiLevelType w:val="singleLevel"/>
    <w:tmpl w:val="C27A6EC5"/>
    <w:lvl w:ilvl="0" w:tentative="0">
      <w:start w:val="2"/>
      <w:numFmt w:val="decimal"/>
      <w:lvlText w:val="%1."/>
      <w:lvlJc w:val="left"/>
      <w:pPr>
        <w:tabs>
          <w:tab w:val="left" w:pos="312"/>
        </w:tabs>
      </w:pPr>
    </w:lvl>
  </w:abstractNum>
  <w:abstractNum w:abstractNumId="1">
    <w:nsid w:val="D3AA67DA"/>
    <w:multiLevelType w:val="singleLevel"/>
    <w:tmpl w:val="D3AA67DA"/>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4">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C6C7D3"/>
    <w:multiLevelType w:val="singleLevel"/>
    <w:tmpl w:val="7DC6C7D3"/>
    <w:lvl w:ilvl="0" w:tentative="0">
      <w:start w:val="4"/>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7355DE0"/>
    <w:rsid w:val="0C24200C"/>
    <w:rsid w:val="0CD85A3B"/>
    <w:rsid w:val="11416217"/>
    <w:rsid w:val="12DD1B28"/>
    <w:rsid w:val="12FE3950"/>
    <w:rsid w:val="15B13C57"/>
    <w:rsid w:val="16B304F0"/>
    <w:rsid w:val="187F2692"/>
    <w:rsid w:val="1BA51044"/>
    <w:rsid w:val="1BE978E3"/>
    <w:rsid w:val="20872C9F"/>
    <w:rsid w:val="216D7189"/>
    <w:rsid w:val="238E7743"/>
    <w:rsid w:val="239F050C"/>
    <w:rsid w:val="257E17F7"/>
    <w:rsid w:val="275663DD"/>
    <w:rsid w:val="278E5053"/>
    <w:rsid w:val="2BF92562"/>
    <w:rsid w:val="2DE024B6"/>
    <w:rsid w:val="2ED0393D"/>
    <w:rsid w:val="312C457E"/>
    <w:rsid w:val="32911927"/>
    <w:rsid w:val="33562ADE"/>
    <w:rsid w:val="33F52CFD"/>
    <w:rsid w:val="34B23808"/>
    <w:rsid w:val="384055D4"/>
    <w:rsid w:val="3F4113F9"/>
    <w:rsid w:val="40A404FA"/>
    <w:rsid w:val="425060F2"/>
    <w:rsid w:val="446D7398"/>
    <w:rsid w:val="45847BA5"/>
    <w:rsid w:val="46410D56"/>
    <w:rsid w:val="469E203D"/>
    <w:rsid w:val="49E80350"/>
    <w:rsid w:val="4BB43D8C"/>
    <w:rsid w:val="4C077C53"/>
    <w:rsid w:val="4DBA22C3"/>
    <w:rsid w:val="52423785"/>
    <w:rsid w:val="56077DC5"/>
    <w:rsid w:val="584840FA"/>
    <w:rsid w:val="59CA0571"/>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6F7474"/>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index 6"/>
    <w:basedOn w:val="1"/>
    <w:next w:val="1"/>
    <w:unhideWhenUsed/>
    <w:qFormat/>
    <w:uiPriority w:val="99"/>
    <w:pPr>
      <w:ind w:left="2100"/>
    </w:pPr>
    <w:rPr>
      <w:sz w:val="24"/>
    </w:r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6"/>
    <w:qFormat/>
    <w:uiPriority w:val="0"/>
    <w:rPr>
      <w:rFonts w:ascii="Arial" w:hAnsi="Arial" w:eastAsia="黑体"/>
      <w:b/>
      <w:bCs/>
      <w:kern w:val="2"/>
      <w:sz w:val="28"/>
      <w:szCs w:val="28"/>
      <w:lang w:val="en-US" w:eastAsia="zh-CN" w:bidi="ar-SA"/>
    </w:rPr>
  </w:style>
  <w:style w:type="character" w:customStyle="1" w:styleId="48">
    <w:name w:val="标题 3 字符"/>
    <w:link w:val="5"/>
    <w:qFormat/>
    <w:uiPriority w:val="0"/>
    <w:rPr>
      <w:rFonts w:ascii="宋体" w:hAnsi="宋体" w:eastAsia="宋体"/>
      <w:b/>
      <w:bCs/>
      <w:kern w:val="2"/>
      <w:sz w:val="28"/>
      <w:szCs w:val="32"/>
      <w:lang w:val="en-US" w:eastAsia="zh-CN" w:bidi="ar-SA"/>
    </w:rPr>
  </w:style>
  <w:style w:type="character" w:customStyle="1" w:styleId="49">
    <w:name w:val="标题 1 字符"/>
    <w:link w:val="4"/>
    <w:qFormat/>
    <w:uiPriority w:val="0"/>
    <w:rPr>
      <w:rFonts w:ascii="宋体" w:hAnsi="宋体" w:eastAsia="宋体"/>
      <w:b/>
      <w:bCs/>
      <w:kern w:val="44"/>
      <w:sz w:val="32"/>
      <w:szCs w:val="36"/>
      <w:lang w:val="en-US" w:eastAsia="zh-CN" w:bidi="ar-SA"/>
    </w:rPr>
  </w:style>
  <w:style w:type="character" w:customStyle="1" w:styleId="50">
    <w:name w:val="标题 2 字符"/>
    <w:link w:val="7"/>
    <w:qFormat/>
    <w:uiPriority w:val="0"/>
    <w:rPr>
      <w:rFonts w:ascii="宋体" w:hAnsi="宋体" w:eastAsia="宋体"/>
      <w:b/>
      <w:sz w:val="28"/>
      <w:lang w:val="en-US" w:eastAsia="zh-CN" w:bidi="ar-SA"/>
    </w:rPr>
  </w:style>
  <w:style w:type="character" w:customStyle="1" w:styleId="51">
    <w:name w:val="正文缩进 字符"/>
    <w:link w:val="9"/>
    <w:qFormat/>
    <w:uiPriority w:val="0"/>
    <w:rPr>
      <w:rFonts w:eastAsia="宋体"/>
      <w:kern w:val="2"/>
      <w:sz w:val="21"/>
      <w:lang w:val="en-US" w:eastAsia="zh-CN" w:bidi="ar-SA"/>
    </w:rPr>
  </w:style>
  <w:style w:type="character" w:customStyle="1" w:styleId="52">
    <w:name w:val="批注文字 字符"/>
    <w:link w:val="17"/>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 w:type="paragraph" w:styleId="7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22</Pages>
  <Words>9235</Words>
  <Characters>9682</Characters>
  <Lines>110</Lines>
  <Paragraphs>31</Paragraphs>
  <TotalTime>1</TotalTime>
  <ScaleCrop>false</ScaleCrop>
  <LinksUpToDate>false</LinksUpToDate>
  <CharactersWithSpaces>11008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2023-04-27T08:51:41Z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BB87CA5906FB4AC483E17446EA6854A3</vt:lpwstr>
  </property>
</Properties>
</file>