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中学部电动防撞桩</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3017</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二十七</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3017</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深圳实验学校中学部电动防撞</w:t>
      </w:r>
      <w:r>
        <w:rPr>
          <w:rFonts w:hint="eastAsia" w:ascii="宋体" w:hAnsi="宋体" w:cs="宋体"/>
          <w:szCs w:val="21"/>
          <w:lang w:val="en-US" w:eastAsia="zh-CN"/>
        </w:rPr>
        <w:t>桩</w:t>
      </w:r>
      <w:bookmarkStart w:id="30" w:name="_GoBack"/>
      <w:bookmarkEnd w:id="30"/>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45</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cs="宋体"/>
                <w:lang w:val="en-US" w:eastAsia="zh-CN"/>
              </w:rPr>
              <w:t>45</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1559"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诚信情况</w:t>
            </w: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162" w:type="dxa"/>
            <w:vAlign w:val="center"/>
          </w:tcPr>
          <w:p>
            <w:pPr>
              <w:spacing w:line="240" w:lineRule="exact"/>
              <w:jc w:val="center"/>
              <w:rPr>
                <w:rFonts w:hint="eastAsia" w:ascii="宋体" w:hAnsi="宋体"/>
                <w:szCs w:val="21"/>
              </w:rPr>
            </w:pPr>
            <w:r>
              <w:rPr>
                <w:rFonts w:hint="eastAsia" w:ascii="宋体" w:hAnsi="宋体"/>
                <w:szCs w:val="21"/>
              </w:rPr>
              <w:t>专家评分</w:t>
            </w:r>
          </w:p>
        </w:tc>
        <w:tc>
          <w:tcPr>
            <w:tcW w:w="3295" w:type="dxa"/>
            <w:vAlign w:val="center"/>
          </w:tcPr>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查询网页如下：</w:t>
            </w:r>
          </w:p>
          <w:p>
            <w:pPr>
              <w:pStyle w:val="78"/>
              <w:rPr>
                <w:rFonts w:hint="default"/>
                <w:lang w:val="en-US" w:eastAsia="zh-CN"/>
              </w:rPr>
            </w:pPr>
            <w:r>
              <w:rPr>
                <w:rFonts w:hint="default"/>
                <w:lang w:val="en-US" w:eastAsia="zh-CN"/>
              </w:rPr>
              <w:fldChar w:fldCharType="begin"/>
            </w:r>
            <w:r>
              <w:rPr>
                <w:rFonts w:hint="default"/>
                <w:lang w:val="en-US" w:eastAsia="zh-CN"/>
              </w:rPr>
              <w:instrText xml:space="preserve"> HYPERLINK "https://amr.sz.gov.cn/xyjggs.webui/xyjggs/index.aspx" </w:instrText>
            </w:r>
            <w:r>
              <w:rPr>
                <w:rFonts w:hint="default"/>
                <w:lang w:val="en-US" w:eastAsia="zh-CN"/>
              </w:rPr>
              <w:fldChar w:fldCharType="separate"/>
            </w:r>
            <w:r>
              <w:rPr>
                <w:rStyle w:val="44"/>
                <w:rFonts w:hint="default"/>
                <w:lang w:val="en-US" w:eastAsia="zh-CN"/>
              </w:rPr>
              <w:t>https://amr.sz.gov.cn/xyjggs.webui/xyjggs/index.aspx</w:t>
            </w:r>
            <w:r>
              <w:rPr>
                <w:rFonts w:hint="default"/>
                <w:lang w:val="en-US" w:eastAsia="zh-CN"/>
              </w:rPr>
              <w:fldChar w:fldCharType="end"/>
            </w:r>
            <w:r>
              <w:rPr>
                <w:rFonts w:hint="eastAsia"/>
                <w:lang w:val="en-US" w:eastAsia="zh-CN"/>
              </w:rPr>
              <w:t>（深圳市市场监督管理局）</w:t>
            </w:r>
          </w:p>
          <w:p>
            <w:pPr>
              <w:pStyle w:val="78"/>
              <w:rPr>
                <w:rFonts w:hint="default"/>
                <w:lang w:val="en-US" w:eastAsia="zh-CN"/>
              </w:rPr>
            </w:pPr>
            <w:r>
              <w:rPr>
                <w:rFonts w:hint="default"/>
                <w:lang w:val="en-US" w:eastAsia="zh-CN"/>
              </w:rPr>
              <w:fldChar w:fldCharType="begin"/>
            </w:r>
            <w:r>
              <w:rPr>
                <w:rFonts w:hint="default"/>
                <w:lang w:val="en-US" w:eastAsia="zh-CN"/>
              </w:rPr>
              <w:instrText xml:space="preserve"> HYPERLINK "http://zfcg.sz.gov.cn/cgjg/cxda/index.html" </w:instrText>
            </w:r>
            <w:r>
              <w:rPr>
                <w:rFonts w:hint="default"/>
                <w:lang w:val="en-US" w:eastAsia="zh-CN"/>
              </w:rPr>
              <w:fldChar w:fldCharType="separate"/>
            </w:r>
            <w:r>
              <w:rPr>
                <w:rStyle w:val="44"/>
                <w:rFonts w:hint="default"/>
                <w:lang w:val="en-US" w:eastAsia="zh-CN"/>
              </w:rPr>
              <w:t>http://zfcg.sz.gov.cn/cgjg/cxda/index.html</w:t>
            </w:r>
            <w:r>
              <w:rPr>
                <w:rFonts w:hint="default"/>
                <w:lang w:val="en-US" w:eastAsia="zh-CN"/>
              </w:rPr>
              <w:fldChar w:fldCharType="end"/>
            </w:r>
            <w:r>
              <w:rPr>
                <w:rFonts w:hint="eastAsia"/>
                <w:lang w:val="en-US" w:eastAsia="zh-CN"/>
              </w:rPr>
              <w:t>（深圳市政府采购监管网）</w:t>
            </w:r>
          </w:p>
          <w:p>
            <w:pPr>
              <w:snapToGrid w:val="0"/>
              <w:spacing w:line="300" w:lineRule="auto"/>
              <w:rPr>
                <w:rFonts w:hint="eastAsia" w:ascii="宋体" w:hAnsi="宋体"/>
                <w:szCs w:val="21"/>
              </w:rPr>
            </w:pPr>
            <w:r>
              <w:rPr>
                <w:rFonts w:hint="default"/>
                <w:lang w:val="en-US" w:eastAsia="zh-CN"/>
              </w:rPr>
              <w:fldChar w:fldCharType="begin"/>
            </w:r>
            <w:r>
              <w:rPr>
                <w:rFonts w:hint="default"/>
                <w:lang w:val="en-US" w:eastAsia="zh-CN"/>
              </w:rPr>
              <w:instrText xml:space="preserve"> HYPERLINK "https://www.creditchina.gov.cn/home/index.html" </w:instrText>
            </w:r>
            <w:r>
              <w:rPr>
                <w:rFonts w:hint="default"/>
                <w:lang w:val="en-US" w:eastAsia="zh-CN"/>
              </w:rPr>
              <w:fldChar w:fldCharType="separate"/>
            </w:r>
            <w:r>
              <w:rPr>
                <w:rStyle w:val="44"/>
                <w:rFonts w:hint="default"/>
                <w:lang w:val="en-US" w:eastAsia="zh-CN"/>
              </w:rPr>
              <w:t>https://www.creditchina.gov.cn/home/index.html</w:t>
            </w:r>
            <w:r>
              <w:rPr>
                <w:rFonts w:hint="default"/>
                <w:lang w:val="en-US" w:eastAsia="zh-CN"/>
              </w:rPr>
              <w:fldChar w:fldCharType="end"/>
            </w:r>
            <w:r>
              <w:rPr>
                <w:rFonts w:hint="eastAsia"/>
                <w:lang w:val="en-US" w:eastAsia="zh-CN"/>
              </w:rPr>
              <w:t>（信用中国）</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项目管理班子配备情况"/>
      <w:bookmarkEnd w:id="3"/>
      <w:bookmarkStart w:id="4" w:name="bt投标文件签署授权委托书"/>
      <w:bookmarkEnd w:id="4"/>
      <w:bookmarkStart w:id="5" w:name="bt商务标投标文件格式"/>
      <w:bookmarkEnd w:id="5"/>
      <w:bookmarkStart w:id="6" w:name="bt合同条款及格式"/>
      <w:bookmarkEnd w:id="6"/>
      <w:bookmarkStart w:id="7" w:name="bt投标人须知"/>
      <w:bookmarkEnd w:id="7"/>
      <w:bookmarkStart w:id="8" w:name="bt合同格式"/>
      <w:bookmarkEnd w:id="8"/>
      <w:bookmarkStart w:id="9" w:name="bt投标报价汇总表"/>
      <w:bookmarkEnd w:id="9"/>
      <w:bookmarkStart w:id="10" w:name="bt投标函"/>
      <w:bookmarkEnd w:id="10"/>
      <w:bookmarkStart w:id="11" w:name="bt投标人情况介绍"/>
      <w:bookmarkEnd w:id="11"/>
      <w:bookmarkStart w:id="12" w:name="bt说明"/>
      <w:bookmarkEnd w:id="12"/>
      <w:bookmarkStart w:id="13" w:name="bt合同条款"/>
      <w:bookmarkEnd w:id="13"/>
      <w:bookmarkStart w:id="14" w:name="bt本工程承诺书"/>
      <w:bookmarkEnd w:id="14"/>
      <w:bookmarkStart w:id="15" w:name="合同格式"/>
      <w:bookmarkEnd w:id="15"/>
      <w:bookmarkStart w:id="16" w:name="bt其他资料由投标人自定"/>
      <w:bookmarkEnd w:id="16"/>
      <w:bookmarkStart w:id="17" w:name="bt技术标投标文件格式"/>
      <w:bookmarkEnd w:id="17"/>
      <w:bookmarkStart w:id="18" w:name="bt其他资料2"/>
      <w:bookmarkEnd w:id="18"/>
      <w:bookmarkStart w:id="19" w:name="bt开标一览表"/>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60631620"/>
      <w:bookmarkStart w:id="21" w:name="_Toc73517639"/>
      <w:bookmarkStart w:id="22" w:name="_Toc60560625"/>
      <w:bookmarkStart w:id="23" w:name="_Toc101074876"/>
      <w:bookmarkStart w:id="24" w:name="_Toc73518117"/>
      <w:bookmarkStart w:id="25" w:name="_Toc100052364"/>
      <w:bookmarkStart w:id="26" w:name="_Toc73521635"/>
      <w:bookmarkStart w:id="27" w:name="_Toc73521547"/>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深圳实验学校小学部电动防撞桩</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3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39"/>
        <w:tblpPr w:leftFromText="180" w:rightFromText="180" w:vertAnchor="text" w:horzAnchor="page" w:tblpXSpec="center" w:tblpY="266"/>
        <w:tblOverlap w:val="never"/>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8"/>
        <w:gridCol w:w="904"/>
        <w:gridCol w:w="751"/>
        <w:gridCol w:w="1378"/>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81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keepNext w:val="0"/>
              <w:keepLines w:val="0"/>
              <w:widowControl/>
              <w:suppressLineNumbers w:val="0"/>
              <w:jc w:val="center"/>
              <w:textAlignment w:val="center"/>
              <w:rPr>
                <w:rFonts w:ascii="宋体" w:hAnsi="宋体" w:cs="宋体"/>
                <w:color w:val="000000"/>
                <w:kern w:val="0"/>
                <w:sz w:val="18"/>
                <w:szCs w:val="18"/>
                <w:lang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全自动升降防撞柱</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190000</w:t>
            </w: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2</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控制系统单元箱</w:t>
            </w:r>
          </w:p>
        </w:tc>
        <w:tc>
          <w:tcPr>
            <w:tcW w:w="904"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75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3</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防雷器</w:t>
            </w:r>
          </w:p>
        </w:tc>
        <w:tc>
          <w:tcPr>
            <w:tcW w:w="904"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75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4</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安装及辅材</w:t>
            </w:r>
          </w:p>
        </w:tc>
        <w:tc>
          <w:tcPr>
            <w:tcW w:w="904"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75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3"/>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243"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95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22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全自动升降防撞柱</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1.升降柱体材质为304不锈钢，表面处理6K镜光面；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2.方形法兰盘，不锈钢材质；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3.柱体直径：≥219mm，厚度6mm,升起后阻挡高度（600±2）mm；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rPr>
              <w:t>▲</w:t>
            </w:r>
            <w:r>
              <w:rPr>
                <w:rFonts w:hint="eastAsia" w:ascii="微软雅黑" w:hAnsi="微软雅黑" w:eastAsia="微软雅黑" w:cs="微软雅黑"/>
                <w:i w:val="0"/>
                <w:iCs w:val="0"/>
                <w:color w:val="000000"/>
                <w:kern w:val="0"/>
                <w:sz w:val="22"/>
                <w:szCs w:val="22"/>
                <w:u w:val="none"/>
                <w:lang w:val="en-US" w:eastAsia="zh-CN" w:bidi="ar"/>
              </w:rPr>
              <w:t>4.防水等级达到IP68级</w:t>
            </w:r>
            <w:r>
              <w:rPr>
                <w:rFonts w:hint="eastAsia" w:ascii="微软雅黑" w:hAnsi="微软雅黑" w:eastAsia="微软雅黑" w:cs="微软雅黑"/>
                <w:i w:val="0"/>
                <w:iCs w:val="0"/>
                <w:color w:val="000000"/>
                <w:kern w:val="0"/>
                <w:sz w:val="22"/>
                <w:szCs w:val="22"/>
                <w:highlight w:val="yellow"/>
                <w:u w:val="none"/>
                <w:lang w:val="en-US" w:eastAsia="zh-CN" w:bidi="ar"/>
              </w:rPr>
              <w:t>（提供具有CMA或CNAS认证检测报告）；</w:t>
            </w:r>
            <w:r>
              <w:rPr>
                <w:rFonts w:hint="eastAsia" w:ascii="微软雅黑" w:hAnsi="微软雅黑" w:eastAsia="微软雅黑" w:cs="微软雅黑"/>
                <w:i w:val="0"/>
                <w:iCs w:val="0"/>
                <w:color w:val="000000"/>
                <w:kern w:val="0"/>
                <w:sz w:val="22"/>
                <w:szCs w:val="22"/>
                <w:highlight w:val="yellow"/>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5.连续运行要求：上升时间不超过3-6s；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6.噪声：产品运行时噪声应小于60dB(A)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7.地面法兰面盘：强度抗拉强度≥ 800Mpa， 规定塑性延伸强度≥320Mpa；</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8.警示灯:柱顶LED警示灯带，支持7种颜色随意转换，还可三种颜色不间断闪烁，一种颜色常亮，时间设置；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9.设备的抗电强度、泄露电流符合GA/T 1343-2016中项目5.7 的规范，设备在外加电源下不应出现飞狐和击穿现象，泄漏电流应≤5mA（P-P）；</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10.设备的绝缘电阻应符合GA/T 1343-2016中项目5.7 的规定，设备绝缘电阻应大于5MΩ；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11.外壳防护等级应符合GB/T4208-2017 中IP68 要求恒温装置：内置恒温装置，恒温温度 40℃ ±3℃；</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rPr>
              <w:t>▲</w:t>
            </w:r>
            <w:r>
              <w:rPr>
                <w:rFonts w:hint="eastAsia" w:ascii="微软雅黑" w:hAnsi="微软雅黑" w:eastAsia="微软雅黑" w:cs="微软雅黑"/>
                <w:i w:val="0"/>
                <w:iCs w:val="0"/>
                <w:color w:val="000000"/>
                <w:kern w:val="0"/>
                <w:sz w:val="22"/>
                <w:szCs w:val="22"/>
                <w:u w:val="none"/>
                <w:lang w:val="en-US" w:eastAsia="zh-CN" w:bidi="ar"/>
              </w:rPr>
              <w:t>12.防腐性能等级：9级（</w:t>
            </w:r>
            <w:r>
              <w:rPr>
                <w:rFonts w:hint="eastAsia" w:ascii="微软雅黑" w:hAnsi="微软雅黑" w:eastAsia="微软雅黑" w:cs="微软雅黑"/>
                <w:i w:val="0"/>
                <w:iCs w:val="0"/>
                <w:color w:val="000000"/>
                <w:kern w:val="0"/>
                <w:sz w:val="22"/>
                <w:szCs w:val="22"/>
                <w:highlight w:val="yellow"/>
                <w:u w:val="none"/>
                <w:lang w:val="en-US" w:eastAsia="zh-CN" w:bidi="ar"/>
              </w:rPr>
              <w:t>提供检测报告</w:t>
            </w:r>
            <w:r>
              <w:rPr>
                <w:rFonts w:hint="eastAsia" w:ascii="微软雅黑" w:hAnsi="微软雅黑" w:eastAsia="微软雅黑" w:cs="微软雅黑"/>
                <w:i w:val="0"/>
                <w:iCs w:val="0"/>
                <w:color w:val="000000"/>
                <w:kern w:val="0"/>
                <w:sz w:val="22"/>
                <w:szCs w:val="22"/>
                <w:u w:val="none"/>
                <w:lang w:val="en-US" w:eastAsia="zh-CN" w:bidi="ar"/>
              </w:rPr>
              <w:t>）；</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13.在外部供电停止状态下，应自备电源或具有手动升降功能；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14.静电放电抗扰度、电快速瞬变脉冲群抗扰度、浪涌（冲击）抗扰度应符合GA/T 1343-2016中项目5.8的规定，产品不应出现因条件试验（静电放电，电快速瞬变脉冲群，浪涌）而导致的损坏、故障后状态的改变现象，允许指示装置闪烁，但产品应无永久性损坏或输出端口无任何改变；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15.满足</w:t>
            </w:r>
            <w:r>
              <w:rPr>
                <w:rFonts w:hint="eastAsia" w:ascii="微软雅黑" w:hAnsi="微软雅黑" w:eastAsia="微软雅黑" w:cs="微软雅黑"/>
                <w:i w:val="0"/>
                <w:iCs w:val="0"/>
                <w:color w:val="000000"/>
                <w:kern w:val="0"/>
                <w:sz w:val="22"/>
                <w:szCs w:val="22"/>
                <w:highlight w:val="yellow"/>
                <w:u w:val="none"/>
                <w:lang w:val="en-US" w:eastAsia="zh-CN" w:bidi="ar"/>
              </w:rPr>
              <w:t>GA/T394-2002</w:t>
            </w:r>
            <w:r>
              <w:rPr>
                <w:rFonts w:hint="eastAsia" w:ascii="微软雅黑" w:hAnsi="微软雅黑" w:eastAsia="微软雅黑" w:cs="微软雅黑"/>
                <w:i w:val="0"/>
                <w:iCs w:val="0"/>
                <w:color w:val="000000"/>
                <w:kern w:val="0"/>
                <w:sz w:val="22"/>
                <w:szCs w:val="22"/>
                <w:u w:val="none"/>
                <w:lang w:val="en-US" w:eastAsia="zh-CN" w:bidi="ar"/>
              </w:rPr>
              <w:t>出入口控制系统技术要求；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4"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2</w:t>
            </w: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控制系统单元箱</w:t>
            </w:r>
          </w:p>
        </w:tc>
        <w:tc>
          <w:tcPr>
            <w:tcW w:w="5957" w:type="dxa"/>
            <w:vAlign w:val="center"/>
          </w:tcPr>
          <w:p>
            <w:pPr>
              <w:keepNext w:val="0"/>
              <w:keepLines w:val="0"/>
              <w:widowControl/>
              <w:suppressLineNumbers w:val="0"/>
              <w:spacing w:after="220" w:afterAutospacing="0"/>
              <w:jc w:val="left"/>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1.控制系统灵活机动，稳定性高，工作电压24V；</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2.控制方式：遥控装置、线控装置、远程装置；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3.PLC控制编程器，支持双串口，支持X-NET总线；</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4.支持过载保护，漏电功能；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5.控制箱触摸屏显示屏文本可调节（上升，下降，起动，时间控制调节）；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6.触摸屏显示带中英文双语言、触摸屏显示屏可查询升降信号日志、可下载升降信号日志、日期保存时间2年；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7.触摸屏：Cortex-A7 处理器， 主频 1GHz， 内置 128MB内存， 像素1677 万色， 分辨率 800*480， 2 个通讯口， COM1支持 RS232/RS485， COM2口支持 RS232/RS485/RS422， USB-B 下载方式， 支持 CSV 数据导入导出和 U 盘下载；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8.预留有读卡器开闸及地感检测信号接口，可以兼容任何的开闸信号；</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9.遥控工作频率：315M,使用动态码制式；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10.控制器自带补压功能，补压时间可在文本显示器上设置；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rPr>
              <w:t>▲</w:t>
            </w:r>
            <w:r>
              <w:rPr>
                <w:rFonts w:hint="eastAsia" w:ascii="微软雅黑" w:hAnsi="微软雅黑" w:eastAsia="微软雅黑" w:cs="微软雅黑"/>
                <w:i w:val="0"/>
                <w:iCs w:val="0"/>
                <w:color w:val="000000"/>
                <w:kern w:val="0"/>
                <w:sz w:val="22"/>
                <w:szCs w:val="22"/>
                <w:u w:val="none"/>
                <w:lang w:val="en-US" w:eastAsia="zh-CN" w:bidi="ar"/>
              </w:rPr>
              <w:t>11.需具备远程控制功能、反恐联动（需提供证书达V1.0标准）；</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12.有线远程控制器为独立云模块UDP转开关量信号，支持系统WIN,Android，APP；</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13.远程模块需提供UDP协议说明,软件提供：LK、LD、LE、LR、LO、ID、KY、OY功能。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3</w:t>
            </w: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防雷器</w:t>
            </w:r>
          </w:p>
        </w:tc>
        <w:tc>
          <w:tcPr>
            <w:tcW w:w="5957" w:type="dxa"/>
            <w:vAlign w:val="center"/>
          </w:tcPr>
          <w:p>
            <w:pPr>
              <w:keepNext w:val="0"/>
              <w:keepLines w:val="0"/>
              <w:widowControl/>
              <w:suppressLineNumbers w:val="0"/>
              <w:jc w:val="left"/>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1.最大持续工作电压（Uc）：不低于5V；对地漏电流不大于1mA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2.对地阻抗：不小于1kΩ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3.冲击耐受力1n：复测电压保护等级≤448V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4.电压保护等级Ug;线间应≤30V，线对地≤500V；</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5.保护接地:保护接地线的截面积不小于0.75mm²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6.着火危险性：不易燃。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714"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4</w:t>
            </w: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安装及辅材</w:t>
            </w:r>
          </w:p>
        </w:tc>
        <w:tc>
          <w:tcPr>
            <w:tcW w:w="5957" w:type="dxa"/>
            <w:vAlign w:val="center"/>
          </w:tcPr>
          <w:p>
            <w:pPr>
              <w:keepNext w:val="0"/>
              <w:keepLines w:val="0"/>
              <w:widowControl/>
              <w:suppressLineNumbers w:val="0"/>
              <w:spacing w:after="220" w:afterAutospacing="0"/>
              <w:jc w:val="left"/>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1.路面检测，确认地下施工环境，路面切割开挖掘深1.2米、宽0.7米，路面使用C30混凝土，河沙，碎石等进行恢复；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2.投标时须提供现场实施方案、效果图及施工图；</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3.控制柜需要单独走独立主电源3*4平方（根据现场安装需要，总量200米）；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4.辅材（电机主电源RVV3*2.5 mm2，总量150米；其它电源线（RVV4*1.0 mm2、RVV2*1.0mm2），总量300米；管材（50、32、6PVC），总量250米）；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5.带浮球排水泵2个；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6.垃圾清运、场地清理。</w:t>
            </w:r>
          </w:p>
        </w:tc>
      </w:tr>
    </w:tbl>
    <w:p/>
    <w:p>
      <w:pPr>
        <w:pStyle w:val="5"/>
        <w:spacing w:before="120" w:beforeLines="50" w:after="120" w:afterLines="50"/>
        <w:rPr>
          <w:rFonts w:cs="宋体"/>
          <w:szCs w:val="28"/>
        </w:rPr>
      </w:pPr>
      <w:r>
        <w:rPr>
          <w:rFonts w:hint="eastAsia" w:cs="宋体"/>
          <w:szCs w:val="28"/>
          <w:lang w:val="en-US" w:eastAsia="zh-CN"/>
        </w:rPr>
        <w:t>五</w:t>
      </w:r>
      <w:r>
        <w:rPr>
          <w:rFonts w:hint="eastAsia" w:cs="宋体"/>
          <w:szCs w:val="28"/>
        </w:rPr>
        <w:t>、商务需求</w:t>
      </w:r>
    </w:p>
    <w:p>
      <w:pPr>
        <w:rPr>
          <w:rFonts w:ascii="宋体" w:hAnsi="宋体" w:cs="宋体"/>
        </w:rPr>
      </w:pP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投标书"/>
      <w:bookmarkEnd w:id="28"/>
      <w:bookmarkStart w:id="29" w:name="bt附件"/>
      <w:bookmarkEnd w:id="29"/>
    </w:p>
    <w:p>
      <w:pPr>
        <w:rPr>
          <w:rFonts w:hint="eastAsia"/>
        </w:rPr>
      </w:pPr>
      <w:r>
        <w:rPr>
          <w:rFonts w:hint="eastAsia"/>
        </w:rPr>
        <w:br w:type="page"/>
      </w:r>
    </w:p>
    <w:p>
      <w:pPr>
        <w:rPr>
          <w:rFonts w:hint="eastAsia"/>
        </w:rPr>
      </w:pPr>
    </w:p>
    <w:p>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3"/>
          <w:rFonts w:ascii="宋体" w:hAnsi="宋体" w:eastAsia="宋体"/>
          <w:sz w:val="21"/>
          <w:szCs w:val="21"/>
        </w:rPr>
      </w:pPr>
      <w:r>
        <w:rPr>
          <w:rStyle w:val="53"/>
          <w:rFonts w:hint="eastAsia" w:ascii="宋体" w:hAnsi="宋体" w:eastAsia="宋体"/>
          <w:sz w:val="21"/>
          <w:szCs w:val="21"/>
        </w:rPr>
        <w:t>（温馨提示：投标人必须按本章规定的格式编制投标文件，否则作废标处理）</w:t>
      </w:r>
    </w:p>
    <w:p>
      <w:pPr>
        <w:rPr>
          <w:rStyle w:val="53"/>
          <w:sz w:val="28"/>
          <w:szCs w:val="28"/>
        </w:rPr>
      </w:pPr>
      <w:r>
        <w:rPr>
          <w:rStyle w:val="53"/>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仿宋_GB2312" w:eastAsia="仿宋_GB2312"/>
          <w:szCs w:val="21"/>
        </w:rPr>
      </w:pPr>
      <w:r>
        <w:rPr>
          <w:rFonts w:hint="eastAsia" w:ascii="仿宋_GB2312" w:eastAsia="仿宋_GB2312"/>
          <w:szCs w:val="21"/>
          <w:lang w:val="en-US" w:eastAsia="zh-CN"/>
        </w:rPr>
        <w:t>7</w:t>
      </w:r>
      <w:r>
        <w:rPr>
          <w:rFonts w:hint="eastAsia" w:ascii="仿宋_GB2312" w:eastAsia="仿宋_GB2312"/>
          <w:szCs w:val="21"/>
        </w:rPr>
        <w:t>、</w:t>
      </w:r>
      <w:r>
        <w:rPr>
          <w:rFonts w:hint="eastAsia" w:ascii="宋体" w:hAnsi="宋体"/>
          <w:szCs w:val="21"/>
        </w:rPr>
        <w:t>拟安排的项目负责人情况（仅限一人）（格式自定）</w:t>
      </w:r>
    </w:p>
    <w:p>
      <w:pPr>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、拟安排的项目主要团队成员（主要技术人员）情况（项目负责人除外）（格式自定）</w:t>
      </w:r>
    </w:p>
    <w:p>
      <w:pPr>
        <w:rPr>
          <w:rFonts w:hint="eastAsia" w:ascii="宋体" w:hAnsi="宋体" w:eastAsia="宋体" w:cs="Times New Roman"/>
          <w:szCs w:val="21"/>
          <w:lang w:eastAsia="zh-CN"/>
        </w:rPr>
      </w:pPr>
      <w:r>
        <w:rPr>
          <w:rFonts w:hint="eastAsia" w:ascii="宋体" w:hAnsi="宋体" w:eastAsia="宋体" w:cs="Times New Roman"/>
          <w:szCs w:val="21"/>
        </w:rPr>
        <w:t>9、项目实施方案</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任务分析、项目管理架构、进度安排、质量保障措施等</w:t>
      </w:r>
      <w:r>
        <w:rPr>
          <w:rFonts w:hint="eastAsia" w:ascii="宋体" w:hAnsi="宋体" w:eastAsia="宋体" w:cs="Times New Roman"/>
          <w:szCs w:val="21"/>
          <w:lang w:eastAsia="zh-CN"/>
        </w:rPr>
        <w:t>）</w:t>
      </w:r>
      <w:r>
        <w:rPr>
          <w:rFonts w:hint="eastAsia" w:ascii="宋体" w:hAnsi="宋体" w:eastAsia="宋体" w:cs="Times New Roman"/>
          <w:szCs w:val="21"/>
        </w:rPr>
        <w:t>（格式自定）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Cs w:val="21"/>
          <w:lang w:val="en-US" w:eastAsia="zh-CN"/>
        </w:rPr>
        <w:t>10、</w:t>
      </w:r>
      <w:r>
        <w:rPr>
          <w:rFonts w:hint="eastAsia" w:ascii="宋体" w:hAnsi="宋体" w:eastAsia="宋体" w:cs="Times New Roman"/>
          <w:sz w:val="21"/>
          <w:szCs w:val="21"/>
          <w:lang w:val="en-US" w:eastAsia="zh-CN"/>
        </w:rPr>
        <w:t>其它</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r>
        <w:rPr>
          <w:rFonts w:hint="eastAsia" w:ascii="宋体" w:hAnsi="宋体" w:eastAsia="宋体" w:cs="Times New Roman"/>
          <w:szCs w:val="21"/>
        </w:rPr>
        <w:t>项目完成（服务期满）后的服务承诺（格式自定）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r>
        <w:rPr>
          <w:rFonts w:hint="eastAsia" w:ascii="宋体" w:hAnsi="宋体" w:eastAsia="宋体" w:cs="Times New Roman"/>
          <w:szCs w:val="21"/>
        </w:rPr>
        <w:t>违约承诺（格式自定）</w:t>
      </w:r>
    </w:p>
    <w:p>
      <w:pPr>
        <w:numPr>
          <w:ilvl w:val="0"/>
          <w:numId w:val="0"/>
        </w:numPr>
        <w:rPr>
          <w:rFonts w:hint="eastAsia" w:ascii="宋体" w:hAnsi="宋体" w:eastAsia="宋体" w:cs="Times New Roman"/>
          <w:szCs w:val="21"/>
        </w:rPr>
      </w:pPr>
      <w:r>
        <w:rPr>
          <w:rFonts w:hint="eastAsia" w:ascii="宋体" w:hAnsi="宋体" w:eastAsia="宋体" w:cs="Times New Roman"/>
          <w:sz w:val="21"/>
          <w:szCs w:val="21"/>
          <w:lang w:val="en-US" w:eastAsia="zh-CN"/>
        </w:rPr>
        <w:t>（3）</w:t>
      </w:r>
      <w:r>
        <w:rPr>
          <w:rFonts w:hint="eastAsia" w:ascii="宋体" w:hAnsi="宋体" w:eastAsia="宋体" w:cs="Times New Roman"/>
          <w:szCs w:val="21"/>
        </w:rPr>
        <w:t>投标人自主知识产权产品（创新、设计）情况（格式自定）</w:t>
      </w:r>
    </w:p>
    <w:p>
      <w:pPr>
        <w:numPr>
          <w:ilvl w:val="0"/>
          <w:numId w:val="0"/>
        </w:num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4</w:t>
      </w:r>
      <w:r>
        <w:rPr>
          <w:rFonts w:hint="eastAsia" w:ascii="宋体" w:hAnsi="宋体" w:eastAsia="宋体" w:cs="Times New Roman"/>
          <w:szCs w:val="21"/>
        </w:rPr>
        <w:t>）项目拟使用的车辆、场地、工具、机器等情况（格式自定）</w:t>
      </w:r>
    </w:p>
    <w:p>
      <w:p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）其它招标文件要求的内容及投标人认为需要补充的内容（格式自定）</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4"/>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39"/>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spacing w:line="360" w:lineRule="auto"/>
        <w:ind w:firstLine="422" w:firstLineChars="200"/>
        <w:rPr>
          <w:rFonts w:hint="eastAsia"/>
          <w:b/>
        </w:rPr>
      </w:pP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rPr>
          <w:rFonts w:ascii="宋体"/>
          <w:b w:val="0"/>
          <w:sz w:val="21"/>
          <w:szCs w:val="21"/>
        </w:rPr>
      </w:pPr>
    </w:p>
    <w:p>
      <w:pPr>
        <w:rPr>
          <w:rFonts w:hint="eastAsia" w:ascii="宋体"/>
          <w:b w:val="0"/>
          <w:sz w:val="21"/>
          <w:szCs w:val="21"/>
        </w:rPr>
      </w:pPr>
      <w:r>
        <w:rPr>
          <w:rFonts w:hint="eastAsia" w:ascii="宋体"/>
          <w:b w:val="0"/>
          <w:sz w:val="21"/>
          <w:szCs w:val="21"/>
        </w:rPr>
        <w:br w:type="page"/>
      </w:r>
    </w:p>
    <w:p>
      <w:pPr>
        <w:pStyle w:val="17"/>
        <w:ind w:firstLine="0" w:firstLineChars="0"/>
        <w:rPr>
          <w:rFonts w:hint="eastAsia" w:ascii="宋体"/>
          <w:b w:val="0"/>
          <w:sz w:val="21"/>
          <w:szCs w:val="21"/>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六、投标人情况介绍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5"/>
        </w:numPr>
        <w:ind w:left="720" w:hanging="720"/>
        <w:outlineLvl w:val="3"/>
        <w:rPr>
          <w:rFonts w:hint="default"/>
          <w:b/>
          <w:bCs/>
          <w:sz w:val="24"/>
          <w:lang w:val="en-US" w:eastAsia="zh-CN"/>
        </w:rPr>
      </w:pPr>
      <w:r>
        <w:rPr>
          <w:rFonts w:hint="eastAsia"/>
          <w:b/>
          <w:bCs/>
          <w:sz w:val="24"/>
          <w:lang w:val="en-US" w:eastAsia="zh-CN"/>
        </w:rPr>
        <w:t>企业荣誉</w:t>
      </w:r>
    </w:p>
    <w:tbl>
      <w:tblPr>
        <w:tblStyle w:val="39"/>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Cs/>
          <w:szCs w:val="21"/>
        </w:rPr>
      </w:pPr>
      <w:r>
        <w:rPr>
          <w:rFonts w:hint="eastAsia"/>
          <w:bCs/>
          <w:szCs w:val="21"/>
        </w:rPr>
        <w:t>提供中标通知书及合同扫描件</w:t>
      </w:r>
    </w:p>
    <w:p>
      <w:pPr>
        <w:rPr>
          <w:b/>
          <w:bCs/>
          <w:sz w:val="24"/>
        </w:rPr>
      </w:pPr>
    </w:p>
    <w:p>
      <w:pPr>
        <w:numPr>
          <w:ilvl w:val="0"/>
          <w:numId w:val="6"/>
        </w:numPr>
        <w:ind w:left="720" w:hanging="720"/>
        <w:outlineLvl w:val="3"/>
        <w:rPr>
          <w:b/>
          <w:bCs/>
          <w:sz w:val="24"/>
        </w:rPr>
      </w:pPr>
      <w:r>
        <w:rPr>
          <w:rFonts w:hint="eastAsia"/>
          <w:b/>
          <w:bCs/>
          <w:sz w:val="24"/>
          <w:lang w:val="en-US" w:eastAsia="zh-CN"/>
        </w:rPr>
        <w:t>同类项目业绩</w:t>
      </w:r>
    </w:p>
    <w:p>
      <w:pPr>
        <w:rPr>
          <w:rFonts w:hint="eastAsia"/>
          <w:b/>
          <w:bCs/>
          <w:sz w:val="24"/>
        </w:rPr>
      </w:pPr>
    </w:p>
    <w:p>
      <w:pPr>
        <w:rPr>
          <w:rFonts w:hint="eastAsia"/>
          <w:b/>
          <w:bCs/>
          <w:sz w:val="24"/>
        </w:rPr>
      </w:pPr>
    </w:p>
    <w:p>
      <w:pPr>
        <w:rPr>
          <w:rFonts w:hint="eastAsia"/>
          <w:b/>
          <w:bCs/>
          <w:sz w:val="24"/>
        </w:rPr>
      </w:pPr>
    </w:p>
    <w:p>
      <w:pPr>
        <w:rPr>
          <w:rFonts w:hint="eastAsia"/>
          <w:b/>
          <w:bCs/>
          <w:sz w:val="24"/>
        </w:rPr>
      </w:pPr>
      <w:r>
        <w:rPr>
          <w:rFonts w:hint="eastAsia"/>
          <w:b/>
          <w:bCs/>
          <w:sz w:val="24"/>
        </w:rPr>
        <w:br w:type="page"/>
      </w: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七、拟安排的项目负责人情况</w:t>
      </w:r>
    </w:p>
    <w:p>
      <w:pPr>
        <w:spacing w:after="60"/>
        <w:jc w:val="center"/>
        <w:rPr>
          <w:rFonts w:ascii="Arial" w:hAnsi="Arial" w:eastAsia="黑体" w:cs="Arial"/>
          <w:bCs/>
          <w:sz w:val="24"/>
          <w:szCs w:val="22"/>
        </w:rPr>
      </w:pPr>
      <w:r>
        <w:rPr>
          <w:rFonts w:hint="eastAsia" w:ascii="Arial" w:hAnsi="Arial" w:eastAsia="黑体" w:cs="Arial"/>
          <w:bCs/>
          <w:sz w:val="24"/>
          <w:szCs w:val="22"/>
        </w:rPr>
        <w:t>项目负责人简历表</w:t>
      </w:r>
    </w:p>
    <w:tbl>
      <w:tblPr>
        <w:tblStyle w:val="39"/>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pPr>
              <w:spacing w:before="20" w:after="20"/>
              <w:jc w:val="center"/>
              <w:rPr>
                <w:rFonts w:ascii="Arial" w:hAnsi="宋体" w:cs="Arial"/>
                <w:szCs w:val="21"/>
              </w:rPr>
            </w:pPr>
          </w:p>
        </w:tc>
        <w:tc>
          <w:tcPr>
            <w:tcW w:w="3060" w:type="dxa"/>
            <w:gridSpan w:val="4"/>
            <w:noWrap w:val="0"/>
            <w:vAlign w:val="center"/>
          </w:tcPr>
          <w:p>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20" w:after="20"/>
              <w:jc w:val="center"/>
              <w:rPr>
                <w:rFonts w:ascii="Arial" w:hAnsi="宋体" w:cs="Arial"/>
                <w:szCs w:val="21"/>
              </w:rPr>
            </w:pPr>
            <w:r>
              <w:rPr>
                <w:rFonts w:hint="eastAsia" w:ascii="Arial" w:hAnsi="宋体" w:cs="Arial"/>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pPr>
              <w:spacing w:before="20" w:after="20"/>
              <w:jc w:val="center"/>
              <w:rPr>
                <w:rFonts w:ascii="Arial" w:hAnsi="宋体" w:cs="Arial"/>
                <w:szCs w:val="21"/>
              </w:rPr>
            </w:pPr>
            <w:r>
              <w:rPr>
                <w:rFonts w:hint="eastAsia"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39"/>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pPr>
              <w:spacing w:line="360" w:lineRule="auto"/>
              <w:rPr>
                <w:b/>
                <w:bCs/>
                <w:szCs w:val="22"/>
              </w:rPr>
            </w:pPr>
          </w:p>
          <w:p>
            <w:pPr>
              <w:spacing w:line="360" w:lineRule="auto"/>
              <w:rPr>
                <w:b/>
                <w:bCs/>
                <w:szCs w:val="22"/>
              </w:rPr>
            </w:pPr>
          </w:p>
        </w:tc>
      </w:tr>
    </w:tbl>
    <w:p>
      <w:pPr>
        <w:jc w:val="both"/>
        <w:rPr>
          <w:rFonts w:hint="default"/>
          <w:lang w:val="en-US"/>
        </w:rPr>
      </w:pP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八、拟安排的项目主要团队成员（主要技术人员）情况</w:t>
      </w:r>
    </w:p>
    <w:p>
      <w:pPr>
        <w:rPr>
          <w:rFonts w:hint="eastAsia"/>
          <w:szCs w:val="21"/>
        </w:rPr>
      </w:pPr>
      <w:r>
        <w:rPr>
          <w:rFonts w:hint="eastAsia"/>
          <w:szCs w:val="21"/>
        </w:rPr>
        <w:t>主要内容应包括(根据项目实际情况适当调整内容)：</w:t>
      </w:r>
    </w:p>
    <w:p>
      <w:pPr>
        <w:rPr>
          <w:szCs w:val="21"/>
        </w:rPr>
      </w:pPr>
    </w:p>
    <w:p>
      <w:pPr>
        <w:outlineLvl w:val="3"/>
        <w:rPr>
          <w:rFonts w:hint="eastAsia"/>
          <w:b/>
          <w:szCs w:val="21"/>
        </w:rPr>
      </w:pPr>
      <w:r>
        <w:rPr>
          <w:rFonts w:hint="eastAsia"/>
          <w:b/>
          <w:szCs w:val="21"/>
        </w:rPr>
        <w:t>实施本项目的主要技术人员情况表。</w:t>
      </w:r>
    </w:p>
    <w:p>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pPr>
        <w:spacing w:after="60"/>
        <w:jc w:val="center"/>
        <w:rPr>
          <w:rFonts w:ascii="Arial" w:hAnsi="Arial" w:eastAsia="黑体" w:cs="Arial"/>
          <w:bCs/>
          <w:sz w:val="24"/>
          <w:szCs w:val="22"/>
        </w:rPr>
      </w:pPr>
      <w:r>
        <w:rPr>
          <w:rFonts w:hint="eastAsia" w:ascii="Arial" w:hAnsi="Arial" w:eastAsia="黑体" w:cs="Arial"/>
          <w:bCs/>
          <w:sz w:val="24"/>
          <w:szCs w:val="22"/>
        </w:rPr>
        <w:t xml:space="preserve">  项目团队成员简历表</w:t>
      </w:r>
    </w:p>
    <w:tbl>
      <w:tblPr>
        <w:tblStyle w:val="39"/>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pPr>
              <w:spacing w:before="40" w:after="20"/>
              <w:jc w:val="center"/>
              <w:rPr>
                <w:rFonts w:ascii="Arial" w:hAnsi="宋体" w:cs="Arial"/>
                <w:sz w:val="18"/>
                <w:szCs w:val="18"/>
              </w:rPr>
            </w:pPr>
            <w:r>
              <w:rPr>
                <w:rFonts w:hint="eastAsia" w:ascii="Arial"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pPr>
        <w:spacing w:after="60"/>
        <w:jc w:val="left"/>
        <w:rPr>
          <w:bCs/>
          <w:szCs w:val="21"/>
        </w:rPr>
      </w:pPr>
      <w:r>
        <w:rPr>
          <w:rFonts w:hint="eastAsia"/>
          <w:bCs/>
          <w:szCs w:val="21"/>
        </w:rPr>
        <w:t>注：按配备表顺序附班子成员身份证、学历、职称、资格证书、社保证明复印件。</w:t>
      </w:r>
    </w:p>
    <w:p>
      <w:pPr>
        <w:pStyle w:val="3"/>
        <w:jc w:val="both"/>
        <w:rPr>
          <w:rFonts w:hint="default" w:ascii="黑体" w:eastAsia="黑体"/>
          <w:bCs w:val="0"/>
          <w:sz w:val="28"/>
          <w:szCs w:val="28"/>
          <w:lang w:val="en-US"/>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九、项目实施方案</w:t>
      </w:r>
    </w:p>
    <w:p>
      <w:pPr>
        <w:rPr>
          <w:rFonts w:hint="eastAsia"/>
          <w:lang w:val="en-US" w:eastAsia="zh-CN"/>
        </w:rPr>
      </w:pPr>
      <w:r>
        <w:rPr>
          <w:rFonts w:hint="eastAsia"/>
          <w:lang w:val="en-US" w:eastAsia="zh-CN"/>
        </w:rPr>
        <w:t>项目实施方案应包含但不仅限于以下内容（任务分析、项目管理架构、进度安排、质量保障措施等）</w:t>
      </w:r>
    </w:p>
    <w:p>
      <w:pPr>
        <w:rPr>
          <w:rFonts w:hint="eastAsia"/>
          <w:lang w:val="en-US" w:eastAsia="zh-CN"/>
        </w:rPr>
      </w:pPr>
    </w:p>
    <w:p>
      <w:pPr>
        <w:rPr>
          <w:rFonts w:hint="eastAsia"/>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十、其它</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（1）项目完成（服务期满）后的服务承诺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（2）违约承诺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（3）投标人自主知识产权产品（创新、设计）情况</w:t>
      </w:r>
    </w:p>
    <w:p>
      <w:pPr>
        <w:numPr>
          <w:ilvl w:val="0"/>
          <w:numId w:val="7"/>
        </w:numPr>
        <w:rPr>
          <w:rFonts w:hint="eastAsia"/>
          <w:b w:val="0"/>
          <w:bCs/>
          <w:szCs w:val="21"/>
          <w:lang w:val="en-US" w:eastAsia="zh-CN"/>
        </w:rPr>
      </w:pPr>
      <w:r>
        <w:rPr>
          <w:rFonts w:hint="eastAsia"/>
          <w:b w:val="0"/>
          <w:bCs/>
          <w:szCs w:val="21"/>
          <w:lang w:val="en-US" w:eastAsia="zh-CN"/>
        </w:rPr>
        <w:t>项目拟使用的车辆、场地、工具、机器等情况</w:t>
      </w:r>
    </w:p>
    <w:p>
      <w:pPr>
        <w:numPr>
          <w:ilvl w:val="0"/>
          <w:numId w:val="7"/>
        </w:numPr>
        <w:rPr>
          <w:rFonts w:hint="default"/>
          <w:b w:val="0"/>
          <w:bCs/>
          <w:szCs w:val="21"/>
          <w:lang w:val="en-US" w:eastAsia="zh-CN"/>
        </w:rPr>
      </w:pPr>
      <w:r>
        <w:rPr>
          <w:rFonts w:hint="eastAsia"/>
          <w:b w:val="0"/>
          <w:bCs/>
          <w:szCs w:val="21"/>
          <w:lang w:val="en-US" w:eastAsia="zh-CN"/>
        </w:rPr>
        <w:t>其它招标文件要求的内容及投标人认为需要补充的内容</w:t>
      </w:r>
    </w:p>
    <w:p>
      <w:pPr>
        <w:numPr>
          <w:ilvl w:val="0"/>
          <w:numId w:val="0"/>
        </w:numPr>
        <w:rPr>
          <w:rFonts w:hint="default"/>
          <w:b w:val="0"/>
          <w:bCs/>
          <w:szCs w:val="21"/>
          <w:lang w:val="en-US" w:eastAsia="zh-CN"/>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A6EC5"/>
    <w:multiLevelType w:val="singleLevel"/>
    <w:tmpl w:val="C27A6EC5"/>
    <w:lvl w:ilvl="0" w:tentative="0">
      <w:start w:val="2"/>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21A87320"/>
    <w:multiLevelType w:val="multilevel"/>
    <w:tmpl w:val="21A87320"/>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C6C7D3"/>
    <w:multiLevelType w:val="singleLevel"/>
    <w:tmpl w:val="7DC6C7D3"/>
    <w:lvl w:ilvl="0" w:tentative="0">
      <w:start w:val="4"/>
      <w:numFmt w:val="decimal"/>
      <w:suff w:val="nothing"/>
      <w:lvlText w:val="（%1）"/>
      <w:lvlJc w:val="left"/>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2DE024B6"/>
    <w:rsid w:val="2ED0393D"/>
    <w:rsid w:val="312C457E"/>
    <w:rsid w:val="32911927"/>
    <w:rsid w:val="33562ADE"/>
    <w:rsid w:val="33F52CFD"/>
    <w:rsid w:val="34B23808"/>
    <w:rsid w:val="384055D4"/>
    <w:rsid w:val="3F4113F9"/>
    <w:rsid w:val="403B24CE"/>
    <w:rsid w:val="40A404FA"/>
    <w:rsid w:val="425060F2"/>
    <w:rsid w:val="446D7398"/>
    <w:rsid w:val="45847BA5"/>
    <w:rsid w:val="46410D56"/>
    <w:rsid w:val="469E203D"/>
    <w:rsid w:val="49E80350"/>
    <w:rsid w:val="4BB43D8C"/>
    <w:rsid w:val="4C077C53"/>
    <w:rsid w:val="4DBA22C3"/>
    <w:rsid w:val="52423785"/>
    <w:rsid w:val="56077DC5"/>
    <w:rsid w:val="577D22EB"/>
    <w:rsid w:val="584840FA"/>
    <w:rsid w:val="59CA0571"/>
    <w:rsid w:val="5D7563F9"/>
    <w:rsid w:val="603D641A"/>
    <w:rsid w:val="606825F4"/>
    <w:rsid w:val="60A0707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basedOn w:val="41"/>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 w:type="paragraph" w:styleId="7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23</Pages>
  <Words>8560</Words>
  <Characters>9113</Characters>
  <Lines>110</Lines>
  <Paragraphs>31</Paragraphs>
  <TotalTime>0</TotalTime>
  <ScaleCrop>false</ScaleCrop>
  <LinksUpToDate>false</LinksUpToDate>
  <CharactersWithSpaces>10465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2023-04-27T08:57:05Z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BB87CA5906FB4AC483E17446EA6854A3</vt:lpwstr>
  </property>
</Properties>
</file>