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default" w:ascii="华文中宋" w:hAnsi="华文中宋" w:eastAsia="华文中宋"/>
          <w:b/>
          <w:bCs/>
          <w:sz w:val="50"/>
          <w:szCs w:val="44"/>
          <w:lang w:val="en-US" w:eastAsia="zh-CN"/>
        </w:rPr>
      </w:pPr>
      <w:r>
        <w:rPr>
          <w:rFonts w:hint="eastAsia" w:ascii="华文中宋" w:hAnsi="华文中宋" w:eastAsia="华文中宋"/>
          <w:b/>
          <w:bCs/>
          <w:sz w:val="50"/>
          <w:szCs w:val="44"/>
        </w:rPr>
        <w:t>深圳实验学校</w:t>
      </w:r>
      <w:r>
        <w:rPr>
          <w:rFonts w:hint="eastAsia" w:ascii="华文中宋" w:hAnsi="华文中宋" w:eastAsia="华文中宋"/>
          <w:b/>
          <w:bCs/>
          <w:sz w:val="50"/>
          <w:szCs w:val="44"/>
          <w:lang w:val="en-US" w:eastAsia="zh-CN"/>
        </w:rPr>
        <w:t>小学部电动防撞桩</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3015</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五</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五</w:t>
      </w:r>
      <w:bookmarkStart w:id="30" w:name="_GoBack"/>
      <w:bookmarkEnd w:id="30"/>
      <w:r>
        <w:rPr>
          <w:rFonts w:hint="eastAsia" w:ascii="黑体" w:hAnsi="华文中宋" w:eastAsia="黑体" w:cs="Arial"/>
          <w:sz w:val="32"/>
          <w:szCs w:val="32"/>
        </w:rPr>
        <w:t>日</w:t>
      </w:r>
      <w:r>
        <w:rPr>
          <w:rFonts w:hint="eastAsia" w:ascii="宋体" w:hAnsi="宋体" w:cs="宋体"/>
          <w:sz w:val="32"/>
          <w:szCs w:val="32"/>
        </w:rPr>
        <w:br w:type="page"/>
      </w:r>
    </w:p>
    <w:p>
      <w:pPr>
        <w:pStyle w:val="4"/>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3015</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深圳实验学校小学部电动防撞桩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7"/>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7"/>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7"/>
        <w:jc w:val="both"/>
        <w:rPr>
          <w:rFonts w:cs="宋体"/>
        </w:rPr>
      </w:pPr>
      <w:bookmarkStart w:id="1" w:name="OLE_LINK4"/>
      <w:bookmarkStart w:id="2" w:name="OLE_LINK3"/>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hint="default" w:ascii="宋体" w:hAnsi="宋体" w:eastAsia="仿宋_GB2312"/>
                <w:szCs w:val="21"/>
                <w:lang w:val="en-US" w:eastAsia="zh-CN"/>
              </w:rPr>
            </w:pPr>
            <w:r>
              <w:rPr>
                <w:rFonts w:hint="eastAsia" w:ascii="宋体" w:hAnsi="宋体" w:eastAsia="仿宋_GB2312" w:cs="宋体"/>
                <w:lang w:val="en-US" w:eastAsia="zh-CN"/>
              </w:rPr>
              <w:t>45</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lang w:val="en-US" w:eastAsia="zh-CN"/>
              </w:rPr>
              <w:t>45</w:t>
            </w:r>
            <w:r>
              <w:rPr>
                <w:rFonts w:hint="eastAsia" w:cs="宋体"/>
              </w:rPr>
              <w:t>分，带“</w:t>
            </w:r>
            <w:r>
              <w:rPr>
                <w:rFonts w:hint="eastAsia"/>
              </w:rPr>
              <w:t>▲</w:t>
            </w:r>
            <w:r>
              <w:rPr>
                <w:rFonts w:hint="eastAsia" w:cs="宋体"/>
              </w:rPr>
              <w:t>”指标，每负偏离一项扣</w:t>
            </w:r>
            <w:r>
              <w:rPr>
                <w:rFonts w:hint="eastAsia"/>
                <w:color w:val="FF0000"/>
                <w:lang w:val="en-US" w:eastAsia="zh-CN"/>
              </w:rPr>
              <w:t>3</w:t>
            </w:r>
            <w:r>
              <w:rPr>
                <w:rFonts w:hint="eastAsia" w:cs="宋体"/>
              </w:rPr>
              <w:t>分，其余指标每负偏离一项扣</w:t>
            </w:r>
            <w:r>
              <w:rPr>
                <w:rFonts w:hint="eastAsia"/>
                <w:color w:val="FF0000"/>
                <w:lang w:val="en-US" w:eastAsia="zh-CN"/>
              </w:rPr>
              <w:t>1</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rPr>
                <w:rFonts w:hint="eastAsia"/>
                <w:lang w:val="en-US" w:eastAsia="zh-CN"/>
              </w:rPr>
              <w:t>3</w:t>
            </w:r>
            <w:r>
              <w:rPr>
                <w:rFonts w:hint="eastAsia" w:cs="宋体"/>
              </w:rPr>
              <w:t>，每负偏离一项扣</w:t>
            </w:r>
            <w:r>
              <w:rPr>
                <w:rFonts w:hint="eastAsia"/>
                <w:color w:val="FF0000"/>
                <w:lang w:val="en-US" w:eastAsia="zh-CN"/>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hint="default" w:ascii="宋体" w:hAnsi="宋体" w:eastAsia="宋体"/>
                <w:szCs w:val="21"/>
                <w:lang w:val="en-US" w:eastAsia="zh-CN"/>
              </w:rPr>
            </w:pPr>
            <w:r>
              <w:rPr>
                <w:rFonts w:hint="eastAsia" w:ascii="宋体" w:hAnsi="宋体"/>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4</w:t>
            </w:r>
          </w:p>
        </w:tc>
        <w:tc>
          <w:tcPr>
            <w:tcW w:w="1559"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诚信情况</w:t>
            </w: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1162" w:type="dxa"/>
            <w:vAlign w:val="center"/>
          </w:tcPr>
          <w:p>
            <w:pPr>
              <w:spacing w:line="240" w:lineRule="exact"/>
              <w:jc w:val="center"/>
              <w:rPr>
                <w:rFonts w:hint="eastAsia" w:ascii="宋体" w:hAnsi="宋体"/>
                <w:szCs w:val="21"/>
              </w:rPr>
            </w:pPr>
            <w:r>
              <w:rPr>
                <w:rFonts w:hint="eastAsia" w:ascii="宋体" w:hAnsi="宋体"/>
                <w:szCs w:val="21"/>
              </w:rPr>
              <w:t>专家评分</w:t>
            </w:r>
          </w:p>
        </w:tc>
        <w:tc>
          <w:tcPr>
            <w:tcW w:w="3295" w:type="dxa"/>
            <w:vAlign w:val="center"/>
          </w:tcPr>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投标人在经营活动中存在诚信相关问题且在主管部门相关处理措施实施期限内的，本项不得分，否则得满分。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投标人必须提供市场监督管理局查询页截图及深圳市政府采购监管网诚信档案查询页截图及信用中国查询页截图备查，如提供不清晰导致无法判断的不得分。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查询网页如下：</w:t>
            </w:r>
          </w:p>
          <w:p>
            <w:pPr>
              <w:pStyle w:val="79"/>
              <w:rPr>
                <w:rFonts w:hint="default"/>
                <w:lang w:val="en-US" w:eastAsia="zh-CN"/>
              </w:rPr>
            </w:pPr>
            <w:r>
              <w:rPr>
                <w:rFonts w:hint="default"/>
                <w:lang w:val="en-US" w:eastAsia="zh-CN"/>
              </w:rPr>
              <w:fldChar w:fldCharType="begin"/>
            </w:r>
            <w:r>
              <w:rPr>
                <w:rFonts w:hint="default"/>
                <w:lang w:val="en-US" w:eastAsia="zh-CN"/>
              </w:rPr>
              <w:instrText xml:space="preserve"> HYPERLINK "https://amr.sz.gov.cn/xyjggs.webui/xyjggs/index.aspx" </w:instrText>
            </w:r>
            <w:r>
              <w:rPr>
                <w:rFonts w:hint="default"/>
                <w:lang w:val="en-US" w:eastAsia="zh-CN"/>
              </w:rPr>
              <w:fldChar w:fldCharType="separate"/>
            </w:r>
            <w:r>
              <w:rPr>
                <w:rStyle w:val="45"/>
                <w:rFonts w:hint="default"/>
                <w:lang w:val="en-US" w:eastAsia="zh-CN"/>
              </w:rPr>
              <w:t>https://amr.sz.gov.cn/xyjggs.webui/xyjggs/index.aspx</w:t>
            </w:r>
            <w:r>
              <w:rPr>
                <w:rFonts w:hint="default"/>
                <w:lang w:val="en-US" w:eastAsia="zh-CN"/>
              </w:rPr>
              <w:fldChar w:fldCharType="end"/>
            </w:r>
            <w:r>
              <w:rPr>
                <w:rFonts w:hint="eastAsia"/>
                <w:lang w:val="en-US" w:eastAsia="zh-CN"/>
              </w:rPr>
              <w:t>（深圳市市场监督管理局）</w:t>
            </w:r>
          </w:p>
          <w:p>
            <w:pPr>
              <w:pStyle w:val="79"/>
              <w:rPr>
                <w:rFonts w:hint="default"/>
                <w:lang w:val="en-US" w:eastAsia="zh-CN"/>
              </w:rPr>
            </w:pPr>
            <w:r>
              <w:rPr>
                <w:rFonts w:hint="default"/>
                <w:lang w:val="en-US" w:eastAsia="zh-CN"/>
              </w:rPr>
              <w:fldChar w:fldCharType="begin"/>
            </w:r>
            <w:r>
              <w:rPr>
                <w:rFonts w:hint="default"/>
                <w:lang w:val="en-US" w:eastAsia="zh-CN"/>
              </w:rPr>
              <w:instrText xml:space="preserve"> HYPERLINK "http://zfcg.sz.gov.cn/cgjg/cxda/index.html" </w:instrText>
            </w:r>
            <w:r>
              <w:rPr>
                <w:rFonts w:hint="default"/>
                <w:lang w:val="en-US" w:eastAsia="zh-CN"/>
              </w:rPr>
              <w:fldChar w:fldCharType="separate"/>
            </w:r>
            <w:r>
              <w:rPr>
                <w:rStyle w:val="45"/>
                <w:rFonts w:hint="default"/>
                <w:lang w:val="en-US" w:eastAsia="zh-CN"/>
              </w:rPr>
              <w:t>http://zfcg.sz.gov.cn/cgjg/cxda/index.html</w:t>
            </w:r>
            <w:r>
              <w:rPr>
                <w:rFonts w:hint="default"/>
                <w:lang w:val="en-US" w:eastAsia="zh-CN"/>
              </w:rPr>
              <w:fldChar w:fldCharType="end"/>
            </w:r>
            <w:r>
              <w:rPr>
                <w:rFonts w:hint="eastAsia"/>
                <w:lang w:val="en-US" w:eastAsia="zh-CN"/>
              </w:rPr>
              <w:t>（深圳市政府采购监管网）</w:t>
            </w:r>
          </w:p>
          <w:p>
            <w:pPr>
              <w:snapToGrid w:val="0"/>
              <w:spacing w:line="300" w:lineRule="auto"/>
              <w:rPr>
                <w:rFonts w:hint="eastAsia" w:ascii="宋体" w:hAnsi="宋体"/>
                <w:szCs w:val="21"/>
              </w:rPr>
            </w:pPr>
            <w:r>
              <w:rPr>
                <w:rFonts w:hint="default"/>
                <w:lang w:val="en-US" w:eastAsia="zh-CN"/>
              </w:rPr>
              <w:fldChar w:fldCharType="begin"/>
            </w:r>
            <w:r>
              <w:rPr>
                <w:rFonts w:hint="default"/>
                <w:lang w:val="en-US" w:eastAsia="zh-CN"/>
              </w:rPr>
              <w:instrText xml:space="preserve"> HYPERLINK "https://www.creditchina.gov.cn/home/index.html" </w:instrText>
            </w:r>
            <w:r>
              <w:rPr>
                <w:rFonts w:hint="default"/>
                <w:lang w:val="en-US" w:eastAsia="zh-CN"/>
              </w:rPr>
              <w:fldChar w:fldCharType="separate"/>
            </w:r>
            <w:r>
              <w:rPr>
                <w:rStyle w:val="45"/>
                <w:rFonts w:hint="default"/>
                <w:lang w:val="en-US" w:eastAsia="zh-CN"/>
              </w:rPr>
              <w:t>https://www.creditchina.gov.cn/home/index.html</w:t>
            </w:r>
            <w:r>
              <w:rPr>
                <w:rFonts w:hint="default"/>
                <w:lang w:val="en-US" w:eastAsia="zh-CN"/>
              </w:rPr>
              <w:fldChar w:fldCharType="end"/>
            </w:r>
            <w:r>
              <w:rPr>
                <w:rFonts w:hint="eastAsia"/>
                <w:lang w:val="en-US" w:eastAsia="zh-CN"/>
              </w:rPr>
              <w:t>（信用中国）</w:t>
            </w:r>
          </w:p>
        </w:tc>
      </w:tr>
      <w:bookmarkEnd w:id="0"/>
      <w:bookmarkEnd w:id="1"/>
      <w:bookmarkEnd w:id="2"/>
    </w:tbl>
    <w:p>
      <w:pPr>
        <w:pStyle w:val="7"/>
        <w:jc w:val="both"/>
        <w:rPr>
          <w:rFonts w:cs="宋体"/>
          <w:sz w:val="21"/>
          <w:szCs w:val="21"/>
        </w:rPr>
      </w:pPr>
    </w:p>
    <w:p>
      <w:pPr>
        <w:pStyle w:val="7"/>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技术标投标文件格式"/>
      <w:bookmarkEnd w:id="3"/>
      <w:bookmarkStart w:id="4" w:name="bt项目管理班子配备情况"/>
      <w:bookmarkEnd w:id="4"/>
      <w:bookmarkStart w:id="5" w:name="bt合同格式"/>
      <w:bookmarkEnd w:id="5"/>
      <w:bookmarkStart w:id="6" w:name="bt合同条款及格式"/>
      <w:bookmarkEnd w:id="6"/>
      <w:bookmarkStart w:id="7" w:name="bt投标报价汇总表"/>
      <w:bookmarkEnd w:id="7"/>
      <w:bookmarkStart w:id="8" w:name="bt投标人情况介绍"/>
      <w:bookmarkEnd w:id="8"/>
      <w:bookmarkStart w:id="9" w:name="bt投标文件签署授权委托书"/>
      <w:bookmarkEnd w:id="9"/>
      <w:bookmarkStart w:id="10" w:name="合同格式"/>
      <w:bookmarkEnd w:id="10"/>
      <w:bookmarkStart w:id="11" w:name="bt投标函"/>
      <w:bookmarkEnd w:id="11"/>
      <w:bookmarkStart w:id="12" w:name="bt商务标投标文件格式"/>
      <w:bookmarkEnd w:id="12"/>
      <w:bookmarkStart w:id="13" w:name="bt其他资料由投标人自定"/>
      <w:bookmarkEnd w:id="13"/>
      <w:bookmarkStart w:id="14" w:name="bt合同条款"/>
      <w:bookmarkEnd w:id="14"/>
      <w:bookmarkStart w:id="15" w:name="bt其他资料2"/>
      <w:bookmarkEnd w:id="15"/>
      <w:bookmarkStart w:id="16" w:name="bt本工程承诺书"/>
      <w:bookmarkEnd w:id="16"/>
      <w:bookmarkStart w:id="17" w:name="bt开标一览表"/>
      <w:bookmarkEnd w:id="17"/>
      <w:bookmarkStart w:id="18" w:name="bt投标人须知"/>
      <w:bookmarkEnd w:id="18"/>
      <w:bookmarkStart w:id="19" w:name="bt说明"/>
      <w:bookmarkEnd w:id="19"/>
    </w:p>
    <w:p>
      <w:pPr>
        <w:pStyle w:val="4"/>
        <w:pageBreakBefore w:val="0"/>
        <w:kinsoku/>
        <w:wordWrap/>
        <w:overflowPunct/>
        <w:topLinePunct w:val="0"/>
        <w:autoSpaceDE/>
        <w:autoSpaceDN/>
        <w:bidi w:val="0"/>
        <w:snapToGrid/>
        <w:spacing w:line="320" w:lineRule="exact"/>
      </w:pPr>
      <w:r>
        <w:rPr>
          <w:rFonts w:hint="eastAsia"/>
        </w:rPr>
        <w:t>第二章  项目需求</w:t>
      </w:r>
    </w:p>
    <w:p>
      <w:pPr>
        <w:pStyle w:val="7"/>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17639"/>
      <w:bookmarkStart w:id="21" w:name="_Toc73521635"/>
      <w:bookmarkStart w:id="22" w:name="_Toc60631620"/>
      <w:bookmarkStart w:id="23" w:name="_Toc101074876"/>
      <w:bookmarkStart w:id="24" w:name="_Toc100052364"/>
      <w:bookmarkStart w:id="25" w:name="_Toc73518117"/>
      <w:bookmarkStart w:id="26" w:name="_Toc60560625"/>
      <w:bookmarkStart w:id="27" w:name="_Toc73521547"/>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深圳实验学校小学部电动防撞桩</w:t>
      </w:r>
      <w:r>
        <w:rPr>
          <w:rFonts w:hint="eastAsia" w:ascii="宋体" w:hAnsi="宋体" w:cs="宋体"/>
          <w:szCs w:val="21"/>
        </w:rPr>
        <w:t>。</w:t>
      </w:r>
    </w:p>
    <w:p>
      <w:pPr>
        <w:pStyle w:val="2"/>
        <w:rPr>
          <w:rFonts w:hint="eastAsia"/>
        </w:rPr>
      </w:pPr>
    </w:p>
    <w:p>
      <w:pPr>
        <w:pStyle w:val="7"/>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pPr>
              <w:adjustRightInd w:val="0"/>
              <w:snapToGrid w:val="0"/>
              <w:spacing w:line="360" w:lineRule="auto"/>
              <w:rPr>
                <w:rFonts w:hAnsi="宋体"/>
                <w:kern w:val="0"/>
                <w:szCs w:val="21"/>
              </w:rPr>
            </w:pPr>
          </w:p>
        </w:tc>
      </w:tr>
    </w:tbl>
    <w:p>
      <w:pPr>
        <w:rPr>
          <w:color w:val="auto"/>
          <w:highlight w:val="none"/>
        </w:rPr>
      </w:pPr>
      <w:r>
        <w:rPr>
          <w:rFonts w:hint="eastAsia"/>
          <w:color w:val="auto"/>
          <w:highlight w:val="none"/>
        </w:rPr>
        <w:t>注：上表所列内容为不可负偏离条款，即任何一条不满足将会导致投标无效。</w:t>
      </w:r>
    </w:p>
    <w:p>
      <w:pPr>
        <w:pStyle w:val="2"/>
      </w:pPr>
    </w:p>
    <w:p>
      <w:pPr>
        <w:pStyle w:val="7"/>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9"/>
        <w:gridCol w:w="904"/>
        <w:gridCol w:w="751"/>
        <w:gridCol w:w="137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2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r>
              <w:rPr>
                <w:rFonts w:hint="eastAsia"/>
              </w:rPr>
              <w:t>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cs="宋体" w:asciiTheme="minorEastAsia" w:hAnsiTheme="minorEastAsia" w:eastAsiaTheme="minorEastAsia"/>
                <w:kern w:val="0"/>
                <w:szCs w:val="21"/>
                <w:lang w:val="en-US" w:eastAsia="zh-CN" w:bidi="ar"/>
              </w:rPr>
            </w:pPr>
            <w:r>
              <w:rPr>
                <w:rFonts w:hint="eastAsia" w:ascii="微软雅黑" w:hAnsi="微软雅黑" w:eastAsia="微软雅黑" w:cs="微软雅黑"/>
                <w:color w:val="000000" w:themeColor="text1"/>
                <w:kern w:val="0"/>
                <w:sz w:val="16"/>
                <w:szCs w:val="16"/>
                <w14:textFill>
                  <w14:solidFill>
                    <w14:schemeClr w14:val="tx1"/>
                  </w14:solidFill>
                </w14:textFill>
              </w:rPr>
              <w:t>防爆升降式阻车路障</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14</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个</w:t>
            </w:r>
          </w:p>
        </w:tc>
        <w:tc>
          <w:tcPr>
            <w:tcW w:w="1378"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188000</w:t>
            </w: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default" w:ascii="微软雅黑" w:hAnsi="微软雅黑" w:eastAsia="微软雅黑" w:cs="微软雅黑"/>
                <w:color w:val="000000" w:themeColor="text1"/>
                <w:kern w:val="0"/>
                <w:sz w:val="16"/>
                <w:szCs w:val="16"/>
                <w:lang w:val="en-US" w:eastAsia="zh-CN"/>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防爆升降式阻车路障</w:t>
            </w:r>
            <w:r>
              <w:rPr>
                <w:rFonts w:hint="eastAsia" w:ascii="微软雅黑" w:hAnsi="微软雅黑" w:eastAsia="微软雅黑" w:cs="微软雅黑"/>
                <w:color w:val="000000" w:themeColor="text1"/>
                <w:kern w:val="0"/>
                <w:sz w:val="16"/>
                <w:szCs w:val="16"/>
                <w:lang w:val="en-US" w:eastAsia="zh-CN"/>
                <w14:textFill>
                  <w14:solidFill>
                    <w14:schemeClr w14:val="tx1"/>
                  </w14:solidFill>
                </w14:textFill>
              </w:rPr>
              <w:t>控制系统</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2</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7"/>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1"/>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00"/>
        <w:gridCol w:w="1362"/>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84"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2462" w:type="dxa"/>
            <w:gridSpan w:val="2"/>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货物名称</w:t>
            </w:r>
          </w:p>
        </w:tc>
        <w:tc>
          <w:tcPr>
            <w:tcW w:w="5625"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vMerge w:val="restart"/>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rPr>
              <w:t>1</w:t>
            </w:r>
          </w:p>
        </w:tc>
        <w:tc>
          <w:tcPr>
            <w:tcW w:w="110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防爆升降式阻车路障</w:t>
            </w:r>
          </w:p>
        </w:tc>
        <w:tc>
          <w:tcPr>
            <w:tcW w:w="1362" w:type="dxa"/>
            <w:vAlign w:val="center"/>
          </w:tcPr>
          <w:p>
            <w:pPr>
              <w:widowControl/>
              <w:spacing w:line="320" w:lineRule="exact"/>
              <w:jc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kern w:val="0"/>
                <w:sz w:val="15"/>
                <w:szCs w:val="15"/>
              </w:rPr>
              <w:t>行业规范标准基础性要求</w:t>
            </w:r>
          </w:p>
        </w:tc>
        <w:tc>
          <w:tcPr>
            <w:tcW w:w="5625" w:type="dxa"/>
            <w:vAlign w:val="center"/>
          </w:tcPr>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1、防撞柱体驱动方式：全自动液压机电一体式（每根升降柱内部单独配置液压机芯）；</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2、防撞柱体尺寸：直径≥219mm；柱体厚度≥6mm；柱体高度（拦截高度）≥600 mm；盖板厚度≥10mm；表面磨砂工艺；</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3、地面装饰法兰直径：400mm±5mm；地面装饰法兰厚度：≥10mm；</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4、预埋桶尺寸：直径≥320mm；壁厚：≥2mm；高度：≥1100mm；底部应设有排水口，排水管口外径≥50mm，壁厚≥4mm；穿线孔中心距离地面面板距离应≥100mm，穿线孔直径应≥φ50mm，壁厚≥4mm；预埋桶边缘需有防撞加强点位及焊接固定条设计；</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5、工作电压220V/50HZ；额定功率≥350W；</w:t>
            </w:r>
          </w:p>
          <w:p>
            <w:pPr>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6、运行速度：上升时间2</w:t>
            </w:r>
            <w:r>
              <w:rPr>
                <w:rFonts w:hint="eastAsia" w:ascii="微软雅黑" w:hAnsi="微软雅黑" w:eastAsia="微软雅黑" w:cs="微软雅黑"/>
                <w:color w:val="000000" w:themeColor="text1"/>
                <w:sz w:val="16"/>
                <w:szCs w:val="16"/>
                <w14:textFill>
                  <w14:solidFill>
                    <w14:schemeClr w14:val="tx1"/>
                  </w14:solidFill>
                </w14:textFill>
              </w:rPr>
              <w:t>~</w:t>
            </w:r>
            <w:r>
              <w:rPr>
                <w:rFonts w:hint="eastAsia" w:ascii="微软雅黑" w:hAnsi="微软雅黑" w:eastAsia="微软雅黑" w:cs="微软雅黑"/>
                <w:color w:val="000000" w:themeColor="text1"/>
                <w:kern w:val="0"/>
                <w:sz w:val="16"/>
                <w:szCs w:val="16"/>
                <w14:textFill>
                  <w14:solidFill>
                    <w14:schemeClr w14:val="tx1"/>
                  </w14:solidFill>
                </w14:textFill>
              </w:rPr>
              <w:t>4s,下降：2</w:t>
            </w:r>
            <w:r>
              <w:rPr>
                <w:rFonts w:hint="eastAsia" w:ascii="微软雅黑" w:hAnsi="微软雅黑" w:eastAsia="微软雅黑" w:cs="微软雅黑"/>
                <w:color w:val="000000" w:themeColor="text1"/>
                <w:sz w:val="16"/>
                <w:szCs w:val="16"/>
                <w14:textFill>
                  <w14:solidFill>
                    <w14:schemeClr w14:val="tx1"/>
                  </w14:solidFill>
                </w14:textFill>
              </w:rPr>
              <w:t>~</w:t>
            </w:r>
            <w:r>
              <w:rPr>
                <w:rFonts w:hint="eastAsia" w:ascii="微软雅黑" w:hAnsi="微软雅黑" w:eastAsia="微软雅黑" w:cs="微软雅黑"/>
                <w:color w:val="000000" w:themeColor="text1"/>
                <w:kern w:val="0"/>
                <w:sz w:val="16"/>
                <w:szCs w:val="16"/>
                <w14:textFill>
                  <w14:solidFill>
                    <w14:schemeClr w14:val="tx1"/>
                  </w14:solidFill>
                </w14:textFill>
              </w:rPr>
              <w:t>4s；</w:t>
            </w:r>
          </w:p>
          <w:p>
            <w:pPr>
              <w:spacing w:line="320" w:lineRule="exact"/>
              <w:jc w:val="left"/>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sz w:val="16"/>
                <w:szCs w:val="16"/>
                <w14:textFill>
                  <w14:solidFill>
                    <w14:schemeClr w14:val="tx1"/>
                  </w14:solidFill>
                </w14:textFill>
              </w:rPr>
              <w:t>7、工作环境温度：-30~55℃；工作环境湿度：90%，无凝露；</w:t>
            </w:r>
          </w:p>
          <w:p>
            <w:pPr>
              <w:spacing w:line="320" w:lineRule="exact"/>
              <w:jc w:val="left"/>
              <w:rPr>
                <w:rFonts w:eastAsia="微软雅黑"/>
              </w:rPr>
            </w:pPr>
            <w:r>
              <w:rPr>
                <w:rFonts w:hint="eastAsia" w:ascii="微软雅黑" w:hAnsi="微软雅黑" w:eastAsia="微软雅黑" w:cs="微软雅黑"/>
                <w:color w:val="000000" w:themeColor="text1"/>
                <w:kern w:val="0"/>
                <w:sz w:val="16"/>
                <w:szCs w:val="16"/>
                <w14:textFill>
                  <w14:solidFill>
                    <w14:schemeClr w14:val="tx1"/>
                  </w14:solidFill>
                </w14:textFill>
              </w:rPr>
              <w:t>8、警示方式要求：柱体顶端有蓝白色反光标示带及蓝色LED警示灯带，灯带需加亚克力或塑料灯盘保护；</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10、路障主体底部应有排水设计，应可有效排水；排水管口直径≥φ50mm,排水管口壁厚≥4mm；；</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11、路障主体应具备可拆卸结构设计，预埋桶和路障动力系统后续可拆卸分离进行维修维护（</w:t>
            </w:r>
            <w:r>
              <w:rPr>
                <w:rFonts w:hint="eastAsia" w:ascii="微软雅黑" w:hAnsi="微软雅黑" w:eastAsia="微软雅黑" w:cs="微软雅黑"/>
                <w:color w:val="000000" w:themeColor="text1"/>
                <w:kern w:val="0"/>
                <w:sz w:val="16"/>
                <w:szCs w:val="16"/>
                <w:highlight w:val="none"/>
                <w14:textFill>
                  <w14:solidFill>
                    <w14:schemeClr w14:val="tx1"/>
                  </w14:solidFill>
                </w14:textFill>
              </w:rPr>
              <w:t>需提供带有“CNAS”和“CMA”标志的检测报告佐证</w:t>
            </w:r>
            <w:r>
              <w:rPr>
                <w:rFonts w:hint="eastAsia" w:ascii="微软雅黑" w:hAnsi="微软雅黑" w:eastAsia="微软雅黑" w:cs="微软雅黑"/>
                <w:color w:val="000000" w:themeColor="text1"/>
                <w:kern w:val="0"/>
                <w:sz w:val="16"/>
                <w:szCs w:val="16"/>
                <w14:textFill>
                  <w14:solidFill>
                    <w14:schemeClr w14:val="tx1"/>
                  </w14:solidFill>
                </w14:textFill>
              </w:rPr>
              <w:t>）；</w:t>
            </w:r>
          </w:p>
          <w:p>
            <w:pPr>
              <w:widowControl/>
              <w:spacing w:line="320" w:lineRule="exact"/>
              <w:jc w:val="left"/>
              <w:rPr>
                <w:rFonts w:hint="eastAsia" w:ascii="微软雅黑" w:hAnsi="微软雅黑" w:eastAsia="微软雅黑" w:cs="微软雅黑"/>
                <w:color w:val="000000" w:themeColor="text1"/>
                <w:kern w:val="0"/>
                <w:sz w:val="16"/>
                <w:szCs w:val="16"/>
                <w:lang w:eastAsia="zh-CN"/>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12、路障阻挡主体在升起或下降时可以紧急停止；路障阻挡主体遇到停电时，配有应急电源用于紧急下降，应急电源容量应大于等于12V/7.5Ah</w:t>
            </w:r>
            <w:r>
              <w:rPr>
                <w:rFonts w:hint="eastAsia" w:ascii="微软雅黑" w:hAnsi="微软雅黑" w:eastAsia="微软雅黑" w:cs="微软雅黑"/>
                <w:color w:val="000000" w:themeColor="text1"/>
                <w:kern w:val="0"/>
                <w:sz w:val="16"/>
                <w:szCs w:val="16"/>
                <w:lang w:eastAsia="zh-CN"/>
                <w14:textFill>
                  <w14:solidFill>
                    <w14:schemeClr w14:val="tx1"/>
                  </w14:solidFill>
                </w14:textFill>
              </w:rPr>
              <w:t>；</w:t>
            </w:r>
          </w:p>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13、路障阻挡主体应能正常升降、无卡滞、到位可靠；内部升降行程导柱数量应大于等于3根；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rPr>
            </w:pPr>
          </w:p>
        </w:tc>
        <w:tc>
          <w:tcPr>
            <w:tcW w:w="1100" w:type="dxa"/>
            <w:vAlign w:val="center"/>
          </w:tcPr>
          <w:p>
            <w:pPr>
              <w:keepNext w:val="0"/>
              <w:keepLines w:val="0"/>
              <w:widowControl/>
              <w:suppressLineNumbers w:val="0"/>
              <w:jc w:val="left"/>
              <w:textAlignment w:val="center"/>
              <w:rPr>
                <w:rFonts w:hint="eastAsia" w:ascii="微软雅黑" w:hAnsi="微软雅黑" w:eastAsia="微软雅黑" w:cs="微软雅黑"/>
                <w:color w:val="000000" w:themeColor="text1"/>
                <w:kern w:val="0"/>
                <w:sz w:val="16"/>
                <w:szCs w:val="16"/>
                <w14:textFill>
                  <w14:solidFill>
                    <w14:schemeClr w14:val="tx1"/>
                  </w14:solidFill>
                </w14:textFill>
              </w:rPr>
            </w:pPr>
          </w:p>
        </w:tc>
        <w:tc>
          <w:tcPr>
            <w:tcW w:w="1362" w:type="dxa"/>
            <w:vAlign w:val="center"/>
          </w:tcPr>
          <w:p>
            <w:pPr>
              <w:widowControl/>
              <w:spacing w:line="320" w:lineRule="exact"/>
              <w:jc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5"/>
                <w:szCs w:val="15"/>
                <w14:textFill>
                  <w14:solidFill>
                    <w14:schemeClr w14:val="tx1"/>
                  </w14:solidFill>
                </w14:textFill>
              </w:rPr>
              <w:t>产品材料及工艺规范要求</w:t>
            </w:r>
          </w:p>
        </w:tc>
        <w:tc>
          <w:tcPr>
            <w:tcW w:w="5625" w:type="dxa"/>
            <w:vAlign w:val="center"/>
          </w:tcPr>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1、柱体防腐性能：防撞柱阻挡主体应进行防锈处理，符合GA/T 1343-2016行业标准，升降地柱柱体耐腐蚀等级应≥7级；</w:t>
            </w:r>
          </w:p>
          <w:p>
            <w:pPr>
              <w:widowControl/>
              <w:numPr>
                <w:ilvl w:val="0"/>
                <w:numId w:val="3"/>
              </w:numPr>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防撞柱柱体和顶盖采用304不锈钢，带有厂商名称，产品型号、品牌、生产日期、执行标准等字样，表面无明显变形和划痕，无锈迹；</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3、阻挡主体外壳表面应无锈蚀，无裂痕，褪色及永久污迹，亦无明显变形和划痕，金属外壳表面采</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用喷涂工艺的，应不能漏出金属底层，并无起泡、腐蚀、划痕、图层脱落和沙孔等；</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4、电控箱箱材质：为SUS304不锈钢、喷塑或烤漆（可选）；</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5、法兰防腐：为SUS304不锈钢；</w:t>
            </w:r>
          </w:p>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6、隔离护圈：运动柱体与地埋柱体之间应设置非金属材质的隔离护圈，以避免地面面板刮花运动柱体。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rPr>
            </w:pPr>
          </w:p>
        </w:tc>
        <w:tc>
          <w:tcPr>
            <w:tcW w:w="1100" w:type="dxa"/>
            <w:vMerge w:val="restart"/>
            <w:vAlign w:val="center"/>
          </w:tcPr>
          <w:p>
            <w:pPr>
              <w:keepNext w:val="0"/>
              <w:keepLines w:val="0"/>
              <w:widowControl/>
              <w:suppressLineNumbers w:val="0"/>
              <w:jc w:val="left"/>
              <w:textAlignment w:val="center"/>
              <w:rPr>
                <w:rFonts w:hint="eastAsia" w:ascii="微软雅黑" w:hAnsi="微软雅黑" w:eastAsia="微软雅黑" w:cs="微软雅黑"/>
                <w:color w:val="000000" w:themeColor="text1"/>
                <w:kern w:val="0"/>
                <w:sz w:val="16"/>
                <w:szCs w:val="16"/>
                <w14:textFill>
                  <w14:solidFill>
                    <w14:schemeClr w14:val="tx1"/>
                  </w14:solidFill>
                </w14:textFill>
              </w:rPr>
            </w:pPr>
          </w:p>
        </w:tc>
        <w:tc>
          <w:tcPr>
            <w:tcW w:w="1362" w:type="dxa"/>
            <w:vMerge w:val="restart"/>
            <w:vAlign w:val="center"/>
          </w:tcPr>
          <w:p>
            <w:pPr>
              <w:spacing w:line="320" w:lineRule="exact"/>
              <w:jc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5"/>
                <w:szCs w:val="15"/>
                <w14:textFill>
                  <w14:solidFill>
                    <w14:schemeClr w14:val="tx1"/>
                  </w14:solidFill>
                </w14:textFill>
              </w:rPr>
              <w:t>产品安全性要求</w:t>
            </w:r>
          </w:p>
        </w:tc>
        <w:tc>
          <w:tcPr>
            <w:tcW w:w="5625" w:type="dxa"/>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1、阻挡高度：路障阻挡主体升起后的有效高度应≥600mm（需提供公安部B3级检测报告）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pPr>
          </w:p>
        </w:tc>
        <w:tc>
          <w:tcPr>
            <w:tcW w:w="1100" w:type="dxa"/>
            <w:vMerge w:val="continue"/>
            <w:vAlign w:val="center"/>
          </w:tcPr>
          <w:p>
            <w:pPr>
              <w:widowControl/>
              <w:spacing w:line="320" w:lineRule="exact"/>
              <w:jc w:val="left"/>
            </w:pPr>
          </w:p>
        </w:tc>
        <w:tc>
          <w:tcPr>
            <w:tcW w:w="1362" w:type="dxa"/>
            <w:vMerge w:val="continue"/>
            <w:vAlign w:val="center"/>
          </w:tcPr>
          <w:p>
            <w:pPr>
              <w:widowControl/>
              <w:spacing w:line="320" w:lineRule="exact"/>
              <w:jc w:val="left"/>
            </w:pPr>
          </w:p>
        </w:tc>
        <w:tc>
          <w:tcPr>
            <w:tcW w:w="5625" w:type="dxa"/>
            <w:vAlign w:val="center"/>
          </w:tcPr>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2、升降性能：</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2.1、路障阻挡主体应能正常升降、无卡滞、到位可靠；升起速度≥150mm/s（需提供公安部B3级检测报告）；</w:t>
            </w:r>
          </w:p>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2.2、在外部供电停止状态下，应自备电源或具有手动下降功能（需提供公安部B3级检测报告）；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100"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362"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5625" w:type="dxa"/>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3、警示标示：路障阻挡主体上应具有明显的警示标示，且具有夜间警示功能（需提供公安部B3级检测报告）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100"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362"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5625" w:type="dxa"/>
            <w:vAlign w:val="center"/>
          </w:tcPr>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4、阻挡性能：</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4.1、碰撞能量：应达到车辆质量6800kg以65km/h的碰撞速度通过时，碰撞能量达到1108KJ（需提供公安部B3级检测报告）；</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4.2、侵入距离：车辆侵入距离需≤15.2米（需提供公安部B3级检测报告）；</w:t>
            </w:r>
          </w:p>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4.3、阻挡能量等级：车辆碰撞升降柱后，车辆应失去继续行驶能力，路障应保持阻挡状态，阻挡能量等级达到B3（需提供公安部B3级检测报告）；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100"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362"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5625" w:type="dxa"/>
            <w:vAlign w:val="center"/>
          </w:tcPr>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5、电控制系统安全性：</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5.1、抗电强度应符合GB 16796-2009中5.4.3的规定（需提供公安部B3级检测报告）；</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5.2、绝缘电阻应符合GB 16796-2009中5.4.4的规定；（需提供公安部B3级检测报告）；</w:t>
            </w:r>
          </w:p>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 xml:space="preserve">5.3、泄露电流应符合GB 167·96-2009中5.4.6的规定（需提供公安部B3级检测报告）；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100"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362"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5625" w:type="dxa"/>
            <w:vAlign w:val="center"/>
          </w:tcPr>
          <w:p>
            <w:pPr>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6、电磁兼容性：</w:t>
            </w:r>
          </w:p>
          <w:p>
            <w:pPr>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6.1、放电抗扰度应符合GB/T 30148-2013中的9.3.4的规定（需提供公安部B3级检测报告）；</w:t>
            </w:r>
          </w:p>
          <w:p>
            <w:pPr>
              <w:spacing w:line="320" w:lineRule="exact"/>
              <w:ind w:left="160" w:hanging="160" w:hangingChars="100"/>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6.2、电速瞬变脉冲群抗扰度应符合GB/T 30148-2013中12.3.4的规定（需提供公安部B3级检测报告）；</w:t>
            </w:r>
          </w:p>
          <w:p>
            <w:pPr>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6.3浪涌（冲击）抗扰度应符合GB/T 3014-2013中13.3.4的规定（需提供公安部B3级检测报告）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100"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362"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5625" w:type="dxa"/>
            <w:vAlign w:val="center"/>
          </w:tcPr>
          <w:p>
            <w:pPr>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rPr>
              <w:t>▲</w:t>
            </w:r>
            <w:r>
              <w:rPr>
                <w:rFonts w:hint="eastAsia" w:ascii="微软雅黑" w:hAnsi="微软雅黑" w:eastAsia="微软雅黑" w:cs="微软雅黑"/>
                <w:color w:val="000000" w:themeColor="text1"/>
                <w:sz w:val="16"/>
                <w:szCs w:val="16"/>
                <w14:textFill>
                  <w14:solidFill>
                    <w14:schemeClr w14:val="tx1"/>
                  </w14:solidFill>
                </w14:textFill>
              </w:rPr>
              <w:t>7、</w:t>
            </w:r>
            <w:r>
              <w:rPr>
                <w:rFonts w:hint="eastAsia" w:ascii="微软雅黑" w:hAnsi="微软雅黑" w:eastAsia="微软雅黑" w:cs="微软雅黑"/>
                <w:color w:val="000000" w:themeColor="text1"/>
                <w:kern w:val="0"/>
                <w:sz w:val="16"/>
                <w:szCs w:val="16"/>
                <w14:textFill>
                  <w14:solidFill>
                    <w14:schemeClr w14:val="tx1"/>
                  </w14:solidFill>
                </w14:textFill>
              </w:rPr>
              <w:t>侵水性能：路桩阻挡主体在侵水状态下无漏电现象，且能正常升降，</w:t>
            </w:r>
            <w:r>
              <w:rPr>
                <w:rFonts w:hint="eastAsia" w:ascii="微软雅黑" w:hAnsi="微软雅黑" w:eastAsia="微软雅黑" w:cs="微软雅黑"/>
                <w:color w:val="000000" w:themeColor="text1"/>
                <w:sz w:val="16"/>
                <w:szCs w:val="16"/>
                <w14:textFill>
                  <w14:solidFill>
                    <w14:schemeClr w14:val="tx1"/>
                  </w14:solidFill>
                </w14:textFill>
              </w:rPr>
              <w:t>符合GA/T 1343-2016行业标准</w:t>
            </w:r>
            <w:r>
              <w:rPr>
                <w:rFonts w:hint="eastAsia" w:ascii="微软雅黑" w:hAnsi="微软雅黑" w:eastAsia="微软雅黑" w:cs="微软雅黑"/>
                <w:color w:val="000000" w:themeColor="text1"/>
                <w:kern w:val="0"/>
                <w:sz w:val="16"/>
                <w:szCs w:val="16"/>
                <w14:textFill>
                  <w14:solidFill>
                    <w14:schemeClr w14:val="tx1"/>
                  </w14:solidFill>
                </w14:textFill>
              </w:rPr>
              <w:t>（需提供公安部B3级检测报告）；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100"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362"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5625" w:type="dxa"/>
            <w:vAlign w:val="center"/>
          </w:tcPr>
          <w:p>
            <w:pPr>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8、</w:t>
            </w:r>
            <w:r>
              <w:rPr>
                <w:rFonts w:hint="eastAsia" w:ascii="微软雅黑" w:hAnsi="微软雅黑" w:eastAsia="微软雅黑" w:cs="微软雅黑"/>
                <w:color w:val="000000" w:themeColor="text1"/>
                <w:sz w:val="16"/>
                <w:szCs w:val="16"/>
                <w14:textFill>
                  <w14:solidFill>
                    <w14:schemeClr w14:val="tx1"/>
                  </w14:solidFill>
                </w14:textFill>
              </w:rPr>
              <w:t>可靠性</w:t>
            </w:r>
            <w:r>
              <w:rPr>
                <w:rFonts w:hint="eastAsia" w:ascii="微软雅黑" w:hAnsi="微软雅黑" w:eastAsia="微软雅黑" w:cs="微软雅黑"/>
                <w:color w:val="000000" w:themeColor="text1"/>
                <w:kern w:val="0"/>
                <w:sz w:val="16"/>
                <w:szCs w:val="16"/>
                <w14:textFill>
                  <w14:solidFill>
                    <w14:schemeClr w14:val="tx1"/>
                  </w14:solidFill>
                </w14:textFill>
              </w:rPr>
              <w:t>：常温下，路障连续升降5000次应无停机及故障产生，且升降灵活、到位准确，</w:t>
            </w:r>
            <w:r>
              <w:rPr>
                <w:rFonts w:hint="eastAsia" w:ascii="微软雅黑" w:hAnsi="微软雅黑" w:eastAsia="微软雅黑" w:cs="微软雅黑"/>
                <w:color w:val="000000" w:themeColor="text1"/>
                <w:sz w:val="16"/>
                <w:szCs w:val="16"/>
                <w14:textFill>
                  <w14:solidFill>
                    <w14:schemeClr w14:val="tx1"/>
                  </w14:solidFill>
                </w14:textFill>
              </w:rPr>
              <w:t>符合GA/T 1343-2016行业标准</w:t>
            </w:r>
            <w:r>
              <w:rPr>
                <w:rFonts w:hint="eastAsia" w:ascii="微软雅黑" w:hAnsi="微软雅黑" w:eastAsia="微软雅黑" w:cs="微软雅黑"/>
                <w:color w:val="000000" w:themeColor="text1"/>
                <w:kern w:val="0"/>
                <w:sz w:val="16"/>
                <w:szCs w:val="16"/>
                <w14:textFill>
                  <w14:solidFill>
                    <w14:schemeClr w14:val="tx1"/>
                  </w14:solidFill>
                </w14:textFill>
              </w:rPr>
              <w:t>（需提供公安部B3级检测报告）；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100"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362"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5625" w:type="dxa"/>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rPr>
              <w:t>▲</w:t>
            </w:r>
            <w:r>
              <w:rPr>
                <w:rFonts w:hint="eastAsia" w:ascii="微软雅黑" w:hAnsi="微软雅黑" w:eastAsia="微软雅黑" w:cs="微软雅黑"/>
                <w:color w:val="000000" w:themeColor="text1"/>
                <w:sz w:val="16"/>
                <w:szCs w:val="16"/>
                <w14:textFill>
                  <w14:solidFill>
                    <w14:schemeClr w14:val="tx1"/>
                  </w14:solidFill>
                </w14:textFill>
              </w:rPr>
              <w:t>9、</w:t>
            </w:r>
            <w:r>
              <w:rPr>
                <w:rFonts w:hint="eastAsia" w:ascii="微软雅黑" w:hAnsi="微软雅黑" w:eastAsia="微软雅黑" w:cs="微软雅黑"/>
                <w:color w:val="000000" w:themeColor="text1"/>
                <w:kern w:val="0"/>
                <w:sz w:val="16"/>
                <w:szCs w:val="16"/>
                <w14:textFill>
                  <w14:solidFill>
                    <w14:schemeClr w14:val="tx1"/>
                  </w14:solidFill>
                </w14:textFill>
              </w:rPr>
              <w:t>环境适应性：低温达到-30℃±2℃时能够正常工作，高温达到+55℃±2℃时能够正常工作，应</w:t>
            </w:r>
            <w:r>
              <w:rPr>
                <w:rFonts w:hint="eastAsia" w:ascii="微软雅黑" w:hAnsi="微软雅黑" w:eastAsia="微软雅黑" w:cs="微软雅黑"/>
                <w:color w:val="000000" w:themeColor="text1"/>
                <w:sz w:val="16"/>
                <w:szCs w:val="16"/>
                <w14:textFill>
                  <w14:solidFill>
                    <w14:schemeClr w14:val="tx1"/>
                  </w14:solidFill>
                </w14:textFill>
              </w:rPr>
              <w:t>符合GA/T 1343-2016行业标准的5.4.1规定</w:t>
            </w:r>
            <w:r>
              <w:rPr>
                <w:rFonts w:hint="eastAsia" w:ascii="微软雅黑" w:hAnsi="微软雅黑" w:eastAsia="微软雅黑" w:cs="微软雅黑"/>
                <w:color w:val="000000" w:themeColor="text1"/>
                <w:kern w:val="0"/>
                <w:sz w:val="16"/>
                <w:szCs w:val="16"/>
                <w14:textFill>
                  <w14:solidFill>
                    <w14:schemeClr w14:val="tx1"/>
                  </w14:solidFill>
                </w14:textFill>
              </w:rPr>
              <w:t>（需提供公安部B3级检测报告）；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2</w:t>
            </w:r>
          </w:p>
        </w:tc>
        <w:tc>
          <w:tcPr>
            <w:tcW w:w="1100" w:type="dxa"/>
            <w:vAlign w:val="center"/>
          </w:tcPr>
          <w:p>
            <w:pPr>
              <w:keepNext w:val="0"/>
              <w:keepLines w:val="0"/>
              <w:widowControl/>
              <w:suppressLineNumbers w:val="0"/>
              <w:jc w:val="left"/>
              <w:textAlignment w:val="center"/>
              <w:rPr>
                <w:rFonts w:hint="eastAsia"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防爆升降式阻车路障</w:t>
            </w:r>
            <w:r>
              <w:rPr>
                <w:rFonts w:hint="eastAsia" w:ascii="微软雅黑" w:hAnsi="微软雅黑" w:eastAsia="微软雅黑" w:cs="微软雅黑"/>
                <w:color w:val="000000" w:themeColor="text1"/>
                <w:kern w:val="0"/>
                <w:sz w:val="16"/>
                <w:szCs w:val="16"/>
                <w:lang w:val="en-US" w:eastAsia="zh-CN"/>
                <w14:textFill>
                  <w14:solidFill>
                    <w14:schemeClr w14:val="tx1"/>
                  </w14:solidFill>
                </w14:textFill>
              </w:rPr>
              <w:t>控制系统</w:t>
            </w:r>
          </w:p>
        </w:tc>
        <w:tc>
          <w:tcPr>
            <w:tcW w:w="1362" w:type="dxa"/>
            <w:vAlign w:val="center"/>
          </w:tcPr>
          <w:p>
            <w:pPr>
              <w:spacing w:line="320" w:lineRule="exact"/>
              <w:jc w:val="center"/>
              <w:rPr>
                <w:rFonts w:hint="eastAsia" w:ascii="微软雅黑" w:hAnsi="微软雅黑" w:eastAsia="微软雅黑" w:cs="微软雅黑"/>
                <w:color w:val="000000" w:themeColor="text1"/>
                <w:kern w:val="0"/>
                <w:sz w:val="15"/>
                <w:szCs w:val="15"/>
                <w14:textFill>
                  <w14:solidFill>
                    <w14:schemeClr w14:val="tx1"/>
                  </w14:solidFill>
                </w14:textFill>
              </w:rPr>
            </w:pPr>
            <w:r>
              <w:rPr>
                <w:rFonts w:hint="eastAsia" w:ascii="微软雅黑" w:hAnsi="微软雅黑" w:eastAsia="微软雅黑" w:cs="微软雅黑"/>
                <w:color w:val="000000" w:themeColor="text1"/>
                <w:kern w:val="0"/>
                <w:sz w:val="15"/>
                <w:szCs w:val="15"/>
                <w14:textFill>
                  <w14:solidFill>
                    <w14:schemeClr w14:val="tx1"/>
                  </w14:solidFill>
                </w14:textFill>
              </w:rPr>
              <w:t>控制系统功能要求、以及产品智能化要求</w:t>
            </w:r>
          </w:p>
        </w:tc>
        <w:tc>
          <w:tcPr>
            <w:tcW w:w="5625" w:type="dxa"/>
            <w:vAlign w:val="center"/>
          </w:tcPr>
          <w:p>
            <w:pPr>
              <w:numPr>
                <w:ilvl w:val="0"/>
                <w:numId w:val="0"/>
              </w:numPr>
              <w:spacing w:line="320" w:lineRule="exact"/>
              <w:jc w:val="left"/>
              <w:rPr>
                <w:rFonts w:ascii="微软雅黑" w:hAnsi="微软雅黑" w:eastAsia="微软雅黑" w:cs="微软雅黑"/>
                <w:color w:val="000000" w:themeColor="text1"/>
                <w:sz w:val="16"/>
                <w:szCs w:val="16"/>
                <w:highlight w:val="none"/>
                <w14:textFill>
                  <w14:solidFill>
                    <w14:schemeClr w14:val="tx1"/>
                  </w14:solidFill>
                </w14:textFill>
              </w:rPr>
            </w:pPr>
            <w:r>
              <w:rPr>
                <w:rFonts w:hint="eastAsia"/>
              </w:rPr>
              <w:t>▲</w:t>
            </w:r>
            <w:r>
              <w:rPr>
                <w:rFonts w:hint="eastAsia"/>
                <w:lang w:val="en-US" w:eastAsia="zh-CN"/>
              </w:rPr>
              <w:t>1、</w:t>
            </w:r>
            <w:r>
              <w:rPr>
                <w:rFonts w:hint="eastAsia" w:ascii="微软雅黑" w:hAnsi="微软雅黑" w:eastAsia="微软雅黑" w:cs="微软雅黑"/>
                <w:color w:val="000000" w:themeColor="text1"/>
                <w:sz w:val="16"/>
                <w:szCs w:val="16"/>
                <w14:textFill>
                  <w14:solidFill>
                    <w14:schemeClr w14:val="tx1"/>
                  </w14:solidFill>
                </w14:textFill>
              </w:rPr>
              <w:t>应采用单片机控制，便于系统联动，如：声光报警、车牌识别、道闸、门禁、蓝牙、红外、监控、红绿灯、潮汐车道、人脸识别等系统联</w:t>
            </w:r>
            <w:r>
              <w:rPr>
                <w:rFonts w:hint="eastAsia" w:ascii="微软雅黑" w:hAnsi="微软雅黑" w:eastAsia="微软雅黑" w:cs="微软雅黑"/>
                <w:color w:val="000000" w:themeColor="text1"/>
                <w:sz w:val="16"/>
                <w:szCs w:val="16"/>
                <w:highlight w:val="none"/>
                <w14:textFill>
                  <w14:solidFill>
                    <w14:schemeClr w14:val="tx1"/>
                  </w14:solidFill>
                </w14:textFill>
              </w:rPr>
              <w:t>动</w:t>
            </w:r>
            <w:r>
              <w:rPr>
                <w:rFonts w:hint="eastAsia" w:ascii="微软雅黑" w:hAnsi="微软雅黑" w:eastAsia="微软雅黑" w:cs="微软雅黑"/>
                <w:color w:val="000000" w:themeColor="text1"/>
                <w:kern w:val="0"/>
                <w:sz w:val="16"/>
                <w:szCs w:val="16"/>
                <w:highlight w:val="none"/>
                <w14:textFill>
                  <w14:solidFill>
                    <w14:schemeClr w14:val="tx1"/>
                  </w14:solidFill>
                </w14:textFill>
              </w:rPr>
              <w:t>（需提供带有“CNAS”和“CMA”标志的检测报告佐证）；</w:t>
            </w:r>
          </w:p>
          <w:p>
            <w:pPr>
              <w:numPr>
                <w:ilvl w:val="0"/>
                <w:numId w:val="0"/>
              </w:numPr>
              <w:spacing w:line="320" w:lineRule="exact"/>
              <w:jc w:val="left"/>
              <w:rPr>
                <w:rFonts w:ascii="微软雅黑" w:hAnsi="微软雅黑" w:eastAsia="微软雅黑" w:cs="微软雅黑"/>
                <w:color w:val="000000" w:themeColor="text1"/>
                <w:sz w:val="16"/>
                <w:szCs w:val="16"/>
                <w:highlight w:val="none"/>
                <w14:textFill>
                  <w14:solidFill>
                    <w14:schemeClr w14:val="tx1"/>
                  </w14:solidFill>
                </w14:textFill>
              </w:rPr>
            </w:pPr>
            <w:r>
              <w:rPr>
                <w:rFonts w:hint="eastAsia"/>
                <w:highlight w:val="none"/>
              </w:rPr>
              <w:t>▲</w:t>
            </w:r>
            <w:r>
              <w:rPr>
                <w:rFonts w:hint="eastAsia"/>
                <w:highlight w:val="none"/>
                <w:lang w:val="en-US" w:eastAsia="zh-CN"/>
              </w:rPr>
              <w:t>2、</w:t>
            </w:r>
            <w:r>
              <w:rPr>
                <w:rFonts w:hint="eastAsia" w:ascii="微软雅黑" w:hAnsi="微软雅黑" w:eastAsia="微软雅黑" w:cs="微软雅黑"/>
                <w:color w:val="000000" w:themeColor="text1"/>
                <w:sz w:val="16"/>
                <w:szCs w:val="16"/>
                <w:highlight w:val="none"/>
                <w14:textFill>
                  <w14:solidFill>
                    <w14:schemeClr w14:val="tx1"/>
                  </w14:solidFill>
                </w14:textFill>
              </w:rPr>
              <w:t>警示灯可通过加装七彩灯条控制模块，通过灯条遥控器，设置七彩灯条颜色随意互换，闪烁频率随意互换，亮度可设置</w:t>
            </w:r>
            <w:r>
              <w:rPr>
                <w:rFonts w:hint="eastAsia" w:ascii="微软雅黑" w:hAnsi="微软雅黑" w:eastAsia="微软雅黑" w:cs="微软雅黑"/>
                <w:color w:val="000000" w:themeColor="text1"/>
                <w:kern w:val="0"/>
                <w:sz w:val="16"/>
                <w:szCs w:val="16"/>
                <w:highlight w:val="none"/>
                <w14:textFill>
                  <w14:solidFill>
                    <w14:schemeClr w14:val="tx1"/>
                  </w14:solidFill>
                </w14:textFill>
              </w:rPr>
              <w:t>（需提供带有“CNAS”和“CMA”标志的检测报告佐证）</w:t>
            </w:r>
            <w:r>
              <w:rPr>
                <w:rFonts w:hint="eastAsia" w:ascii="微软雅黑" w:hAnsi="微软雅黑" w:eastAsia="微软雅黑" w:cs="微软雅黑"/>
                <w:color w:val="000000" w:themeColor="text1"/>
                <w:sz w:val="16"/>
                <w:szCs w:val="16"/>
                <w:highlight w:val="none"/>
                <w14:textFill>
                  <w14:solidFill>
                    <w14:schemeClr w14:val="tx1"/>
                  </w14:solidFill>
                </w14:textFill>
              </w:rPr>
              <w:t>；</w:t>
            </w:r>
          </w:p>
          <w:p>
            <w:pPr>
              <w:widowControl/>
              <w:spacing w:line="320" w:lineRule="exact"/>
              <w:jc w:val="left"/>
              <w:rPr>
                <w:rFonts w:ascii="微软雅黑" w:hAnsi="微软雅黑" w:eastAsia="微软雅黑" w:cs="微软雅黑"/>
                <w:color w:val="000000" w:themeColor="text1"/>
                <w:kern w:val="0"/>
                <w:sz w:val="16"/>
                <w:szCs w:val="16"/>
                <w:highlight w:val="none"/>
                <w14:textFill>
                  <w14:solidFill>
                    <w14:schemeClr w14:val="tx1"/>
                  </w14:solidFill>
                </w14:textFill>
              </w:rPr>
            </w:pPr>
            <w:r>
              <w:rPr>
                <w:rFonts w:hint="eastAsia" w:ascii="微软雅黑" w:hAnsi="微软雅黑" w:eastAsia="微软雅黑" w:cs="微软雅黑"/>
                <w:color w:val="000000" w:themeColor="text1"/>
                <w:kern w:val="0"/>
                <w:sz w:val="16"/>
                <w:szCs w:val="16"/>
                <w:highlight w:val="none"/>
                <w14:textFill>
                  <w14:solidFill>
                    <w14:schemeClr w14:val="tx1"/>
                  </w14:solidFill>
                </w14:textFill>
              </w:rPr>
              <w:t>3、远程控制：通过手机app实现远程操作控制升降；</w:t>
            </w:r>
          </w:p>
          <w:p>
            <w:pPr>
              <w:widowControl/>
              <w:spacing w:line="320" w:lineRule="exact"/>
              <w:jc w:val="left"/>
              <w:rPr>
                <w:rFonts w:ascii="微软雅黑" w:hAnsi="微软雅黑" w:eastAsia="微软雅黑" w:cs="微软雅黑"/>
                <w:color w:val="000000" w:themeColor="text1"/>
                <w:kern w:val="0"/>
                <w:sz w:val="16"/>
                <w:szCs w:val="16"/>
                <w:highlight w:val="none"/>
                <w14:textFill>
                  <w14:solidFill>
                    <w14:schemeClr w14:val="tx1"/>
                  </w14:solidFill>
                </w14:textFill>
              </w:rPr>
            </w:pPr>
            <w:r>
              <w:rPr>
                <w:rFonts w:hint="eastAsia" w:ascii="微软雅黑" w:hAnsi="微软雅黑" w:eastAsia="微软雅黑" w:cs="微软雅黑"/>
                <w:color w:val="000000" w:themeColor="text1"/>
                <w:kern w:val="0"/>
                <w:sz w:val="16"/>
                <w:szCs w:val="16"/>
                <w:highlight w:val="none"/>
                <w14:textFill>
                  <w14:solidFill>
                    <w14:schemeClr w14:val="tx1"/>
                  </w14:solidFill>
                </w14:textFill>
              </w:rPr>
              <w:t>4、可通过无线遥控方式，对进行升、降、停控制，有效距离大于等于100米。（空旷无干扰）；</w:t>
            </w:r>
          </w:p>
          <w:p>
            <w:pPr>
              <w:widowControl/>
              <w:spacing w:line="320" w:lineRule="exact"/>
              <w:jc w:val="left"/>
              <w:rPr>
                <w:rFonts w:ascii="微软雅黑" w:hAnsi="微软雅黑" w:eastAsia="微软雅黑" w:cs="微软雅黑"/>
                <w:color w:val="000000" w:themeColor="text1"/>
                <w:kern w:val="0"/>
                <w:sz w:val="16"/>
                <w:szCs w:val="16"/>
                <w:highlight w:val="none"/>
                <w14:textFill>
                  <w14:solidFill>
                    <w14:schemeClr w14:val="tx1"/>
                  </w14:solidFill>
                </w14:textFill>
              </w:rPr>
            </w:pPr>
            <w:r>
              <w:rPr>
                <w:rFonts w:hint="eastAsia" w:ascii="微软雅黑" w:hAnsi="微软雅黑" w:eastAsia="微软雅黑" w:cs="微软雅黑"/>
                <w:color w:val="000000" w:themeColor="text1"/>
                <w:kern w:val="0"/>
                <w:sz w:val="16"/>
                <w:szCs w:val="16"/>
                <w:highlight w:val="none"/>
                <w14:textFill>
                  <w14:solidFill>
                    <w14:schemeClr w14:val="tx1"/>
                  </w14:solidFill>
                </w14:textFill>
              </w:rPr>
              <w:t>5、防护等级：电控箱防护等级IP54，可防液体泼溅，能够在室外环境安装</w:t>
            </w:r>
          </w:p>
          <w:p>
            <w:pPr>
              <w:widowControl/>
              <w:spacing w:line="320" w:lineRule="exact"/>
              <w:jc w:val="left"/>
              <w:rPr>
                <w:rFonts w:ascii="微软雅黑" w:hAnsi="微软雅黑" w:eastAsia="微软雅黑" w:cs="微软雅黑"/>
                <w:color w:val="000000" w:themeColor="text1"/>
                <w:kern w:val="0"/>
                <w:sz w:val="16"/>
                <w:szCs w:val="16"/>
                <w:highlight w:val="none"/>
                <w14:textFill>
                  <w14:solidFill>
                    <w14:schemeClr w14:val="tx1"/>
                  </w14:solidFill>
                </w14:textFill>
              </w:rPr>
            </w:pPr>
            <w:r>
              <w:rPr>
                <w:rFonts w:hint="eastAsia" w:ascii="微软雅黑" w:hAnsi="微软雅黑" w:eastAsia="微软雅黑" w:cs="微软雅黑"/>
                <w:color w:val="000000" w:themeColor="text1"/>
                <w:kern w:val="0"/>
                <w:sz w:val="16"/>
                <w:szCs w:val="16"/>
                <w:highlight w:val="none"/>
                <w14:textFill>
                  <w14:solidFill>
                    <w14:schemeClr w14:val="tx1"/>
                  </w14:solidFill>
                </w14:textFill>
              </w:rPr>
              <w:t>6、电控箱系统可扩展加装防雷器，加装后应起到防雷作用。；</w:t>
            </w:r>
          </w:p>
          <w:p>
            <w:pPr>
              <w:widowControl/>
              <w:spacing w:line="320" w:lineRule="exact"/>
              <w:jc w:val="left"/>
              <w:rPr>
                <w:rFonts w:ascii="微软雅黑" w:hAnsi="微软雅黑" w:eastAsia="微软雅黑" w:cs="微软雅黑"/>
                <w:color w:val="000000" w:themeColor="text1"/>
                <w:kern w:val="0"/>
                <w:sz w:val="16"/>
                <w:szCs w:val="16"/>
                <w:highlight w:val="none"/>
                <w14:textFill>
                  <w14:solidFill>
                    <w14:schemeClr w14:val="tx1"/>
                  </w14:solidFill>
                </w14:textFill>
              </w:rPr>
            </w:pPr>
            <w:r>
              <w:rPr>
                <w:rFonts w:hint="eastAsia" w:ascii="微软雅黑" w:hAnsi="微软雅黑" w:eastAsia="微软雅黑" w:cs="微软雅黑"/>
                <w:color w:val="000000" w:themeColor="text1"/>
                <w:kern w:val="0"/>
                <w:sz w:val="16"/>
                <w:szCs w:val="16"/>
                <w:highlight w:val="none"/>
                <w14:textFill>
                  <w14:solidFill>
                    <w14:schemeClr w14:val="tx1"/>
                  </w14:solidFill>
                </w14:textFill>
              </w:rPr>
              <w:t>7、控制系统外壳防护等级需达到IP66</w:t>
            </w:r>
          </w:p>
          <w:p>
            <w:pPr>
              <w:widowControl/>
              <w:spacing w:line="320" w:lineRule="exact"/>
              <w:jc w:val="left"/>
              <w:rPr>
                <w:rFonts w:ascii="微软雅黑" w:hAnsi="微软雅黑" w:eastAsia="微软雅黑" w:cs="微软雅黑"/>
                <w:color w:val="000000" w:themeColor="text1"/>
                <w:kern w:val="0"/>
                <w:sz w:val="16"/>
                <w:szCs w:val="16"/>
                <w:highlight w:val="none"/>
                <w14:textFill>
                  <w14:solidFill>
                    <w14:schemeClr w14:val="tx1"/>
                  </w14:solidFill>
                </w14:textFill>
              </w:rPr>
            </w:pPr>
            <w:r>
              <w:rPr>
                <w:rFonts w:hint="eastAsia"/>
                <w:highlight w:val="none"/>
              </w:rPr>
              <w:t>▲</w:t>
            </w:r>
            <w:r>
              <w:rPr>
                <w:rFonts w:hint="eastAsia" w:ascii="微软雅黑" w:hAnsi="微软雅黑" w:eastAsia="微软雅黑" w:cs="微软雅黑"/>
                <w:color w:val="000000" w:themeColor="text1"/>
                <w:kern w:val="0"/>
                <w:sz w:val="16"/>
                <w:szCs w:val="16"/>
                <w:highlight w:val="none"/>
                <w14:textFill>
                  <w14:solidFill>
                    <w14:schemeClr w14:val="tx1"/>
                  </w14:solidFill>
                </w14:textFill>
              </w:rPr>
              <w:t>8、时间控制功能：控制系统可自由设置路障上升或下降时间，确保路障完全到位（需提供带有“CNAS”和“CMA”标志的检测报告佐证）：</w:t>
            </w:r>
          </w:p>
          <w:p>
            <w:pPr>
              <w:widowControl/>
              <w:spacing w:line="320" w:lineRule="exact"/>
              <w:jc w:val="left"/>
              <w:rPr>
                <w:rFonts w:hint="eastAsia" w:ascii="微软雅黑" w:hAnsi="微软雅黑" w:eastAsia="微软雅黑" w:cs="微软雅黑"/>
                <w:color w:val="000000" w:themeColor="text1"/>
                <w:kern w:val="0"/>
                <w:sz w:val="16"/>
                <w:szCs w:val="16"/>
                <w14:textFill>
                  <w14:solidFill>
                    <w14:schemeClr w14:val="tx1"/>
                  </w14:solidFill>
                </w14:textFill>
              </w:rPr>
            </w:pPr>
            <w:r>
              <w:rPr>
                <w:rFonts w:hint="eastAsia"/>
                <w:highlight w:val="none"/>
              </w:rPr>
              <w:t>▲</w:t>
            </w:r>
            <w:r>
              <w:rPr>
                <w:rFonts w:hint="eastAsia" w:ascii="微软雅黑" w:hAnsi="微软雅黑" w:eastAsia="微软雅黑" w:cs="微软雅黑"/>
                <w:color w:val="000000" w:themeColor="text1"/>
                <w:kern w:val="0"/>
                <w:sz w:val="16"/>
                <w:szCs w:val="16"/>
                <w:highlight w:val="none"/>
                <w14:textFill>
                  <w14:solidFill>
                    <w14:schemeClr w14:val="tx1"/>
                  </w14:solidFill>
                </w14:textFill>
              </w:rPr>
              <w:t>9、工作噪音：≤41分贝（需提供带有“CNAS”和“CMA”标志的检测报告佐证）；</w:t>
            </w:r>
          </w:p>
        </w:tc>
      </w:tr>
    </w:tbl>
    <w:p>
      <w:pPr>
        <w:rPr>
          <w:rFonts w:hint="eastAsia" w:cs="宋体"/>
          <w:szCs w:val="28"/>
          <w:lang w:val="en-US" w:eastAsia="zh-CN"/>
        </w:rPr>
      </w:pPr>
      <w:r>
        <w:rPr>
          <w:rFonts w:hint="eastAsia" w:cs="宋体"/>
          <w:szCs w:val="28"/>
          <w:lang w:val="en-US" w:eastAsia="zh-CN"/>
        </w:rPr>
        <w:br w:type="page"/>
      </w:r>
    </w:p>
    <w:p>
      <w:pPr>
        <w:pStyle w:val="7"/>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jc w:val="center"/>
        <w:rPr>
          <w:rFonts w:hint="eastAsia" w:ascii="宋体" w:hAnsi="宋体" w:eastAsia="宋体" w:cs="宋体"/>
          <w:b/>
          <w:bCs/>
          <w:sz w:val="44"/>
          <w:szCs w:val="44"/>
        </w:rPr>
      </w:pPr>
      <w:bookmarkStart w:id="28" w:name="bt附件"/>
      <w:bookmarkEnd w:id="28"/>
      <w:bookmarkStart w:id="29" w:name="bt投标书"/>
      <w:bookmarkEnd w:id="29"/>
    </w:p>
    <w:p>
      <w:pPr>
        <w:rPr>
          <w:rFonts w:hint="eastAsia"/>
        </w:rPr>
      </w:pPr>
      <w:r>
        <w:rPr>
          <w:rFonts w:hint="eastAsia"/>
        </w:rPr>
        <w:br w:type="page"/>
      </w:r>
    </w:p>
    <w:p>
      <w:pPr>
        <w:rPr>
          <w:rFonts w:hint="eastAsia"/>
        </w:rPr>
      </w:pPr>
    </w:p>
    <w:p>
      <w:pPr>
        <w:pStyle w:val="4"/>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9"/>
        <w:ind w:left="0" w:leftChars="0" w:firstLine="0" w:firstLineChars="0"/>
        <w:rPr>
          <w:rFonts w:ascii="宋体" w:hAnsi="宋体"/>
          <w:szCs w:val="21"/>
        </w:rPr>
      </w:pPr>
    </w:p>
    <w:p>
      <w:pPr>
        <w:pStyle w:val="9"/>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5"/>
        <w:numPr>
          <w:ilvl w:val="0"/>
          <w:numId w:val="4"/>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5"/>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2"/>
        <w:ind w:firstLine="420" w:firstLineChars="200"/>
        <w:rPr>
          <w:rFonts w:ascii="宋体" w:hAnsi="宋体" w:cs="宋体"/>
          <w:b w:val="0"/>
          <w:sz w:val="21"/>
          <w:szCs w:val="21"/>
        </w:rPr>
      </w:pPr>
    </w:p>
    <w:p>
      <w:pPr>
        <w:pStyle w:val="2"/>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4"/>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AA67DA"/>
    <w:multiLevelType w:val="singleLevel"/>
    <w:tmpl w:val="D3AA67DA"/>
    <w:lvl w:ilvl="0" w:tentative="0">
      <w:start w:val="2"/>
      <w:numFmt w:val="decimal"/>
      <w:suff w:val="nothing"/>
      <w:lvlText w:val="%1、"/>
      <w:lvlJc w:val="left"/>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7355DE0"/>
    <w:rsid w:val="0C24200C"/>
    <w:rsid w:val="0CD85A3B"/>
    <w:rsid w:val="11416217"/>
    <w:rsid w:val="12DD1B28"/>
    <w:rsid w:val="12FE3950"/>
    <w:rsid w:val="15B13C57"/>
    <w:rsid w:val="16B304F0"/>
    <w:rsid w:val="187F2692"/>
    <w:rsid w:val="1BA51044"/>
    <w:rsid w:val="1BE978E3"/>
    <w:rsid w:val="1D5A45A1"/>
    <w:rsid w:val="20872C9F"/>
    <w:rsid w:val="216D7189"/>
    <w:rsid w:val="238E7743"/>
    <w:rsid w:val="239F050C"/>
    <w:rsid w:val="257E17F7"/>
    <w:rsid w:val="275663DD"/>
    <w:rsid w:val="278E5053"/>
    <w:rsid w:val="2BF92562"/>
    <w:rsid w:val="2DE024B6"/>
    <w:rsid w:val="2ED0393D"/>
    <w:rsid w:val="312C457E"/>
    <w:rsid w:val="32911927"/>
    <w:rsid w:val="33562ADE"/>
    <w:rsid w:val="33F52CFD"/>
    <w:rsid w:val="34B23808"/>
    <w:rsid w:val="384055D4"/>
    <w:rsid w:val="3F4113F9"/>
    <w:rsid w:val="40A404FA"/>
    <w:rsid w:val="425060F2"/>
    <w:rsid w:val="446D7398"/>
    <w:rsid w:val="45847BA5"/>
    <w:rsid w:val="46410D56"/>
    <w:rsid w:val="469E203D"/>
    <w:rsid w:val="49E80350"/>
    <w:rsid w:val="4BB43D8C"/>
    <w:rsid w:val="4C077C53"/>
    <w:rsid w:val="4DBA22C3"/>
    <w:rsid w:val="52423785"/>
    <w:rsid w:val="56077DC5"/>
    <w:rsid w:val="584840FA"/>
    <w:rsid w:val="59CA0571"/>
    <w:rsid w:val="5D7563F9"/>
    <w:rsid w:val="603D641A"/>
    <w:rsid w:val="606825F4"/>
    <w:rsid w:val="60A07074"/>
    <w:rsid w:val="617A743E"/>
    <w:rsid w:val="62D3439E"/>
    <w:rsid w:val="63C00196"/>
    <w:rsid w:val="66F45EB8"/>
    <w:rsid w:val="69104B48"/>
    <w:rsid w:val="697406AA"/>
    <w:rsid w:val="69782474"/>
    <w:rsid w:val="6B126E3A"/>
    <w:rsid w:val="6B97436A"/>
    <w:rsid w:val="6C11369E"/>
    <w:rsid w:val="6DC17C96"/>
    <w:rsid w:val="6F194F50"/>
    <w:rsid w:val="716F7474"/>
    <w:rsid w:val="71FEDFB2"/>
    <w:rsid w:val="73210D6E"/>
    <w:rsid w:val="73B91B46"/>
    <w:rsid w:val="766746CB"/>
    <w:rsid w:val="76EC41F7"/>
    <w:rsid w:val="77664E62"/>
    <w:rsid w:val="786D46C7"/>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49"/>
    <w:qFormat/>
    <w:uiPriority w:val="0"/>
    <w:pPr>
      <w:spacing w:before="340" w:after="330" w:line="360" w:lineRule="auto"/>
      <w:jc w:val="center"/>
      <w:outlineLvl w:val="0"/>
    </w:pPr>
    <w:rPr>
      <w:kern w:val="44"/>
      <w:sz w:val="32"/>
      <w:szCs w:val="36"/>
    </w:rPr>
  </w:style>
  <w:style w:type="paragraph" w:styleId="7">
    <w:name w:val="heading 2"/>
    <w:basedOn w:val="5"/>
    <w:next w:val="6"/>
    <w:link w:val="50"/>
    <w:qFormat/>
    <w:uiPriority w:val="0"/>
    <w:pPr>
      <w:adjustRightInd w:val="0"/>
      <w:jc w:val="center"/>
      <w:textAlignment w:val="baseline"/>
      <w:outlineLvl w:val="1"/>
    </w:pPr>
    <w:rPr>
      <w:bCs w:val="0"/>
      <w:kern w:val="0"/>
      <w:szCs w:val="20"/>
    </w:rPr>
  </w:style>
  <w:style w:type="paragraph" w:styleId="5">
    <w:name w:val="heading 3"/>
    <w:basedOn w:val="6"/>
    <w:next w:val="1"/>
    <w:link w:val="48"/>
    <w:qFormat/>
    <w:uiPriority w:val="0"/>
    <w:pPr>
      <w:spacing w:before="260" w:after="260" w:line="240" w:lineRule="auto"/>
      <w:outlineLvl w:val="2"/>
    </w:pPr>
    <w:rPr>
      <w:rFonts w:ascii="宋体" w:hAnsi="宋体" w:eastAsia="宋体"/>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qFormat/>
    <w:uiPriority w:val="0"/>
    <w:pPr>
      <w:keepNext/>
      <w:keepLines/>
      <w:spacing w:before="280" w:after="290" w:line="376" w:lineRule="auto"/>
      <w:outlineLvl w:val="4"/>
    </w:pPr>
    <w:rPr>
      <w:b/>
      <w:sz w:val="28"/>
      <w:szCs w:val="20"/>
    </w:rPr>
  </w:style>
  <w:style w:type="paragraph" w:styleId="10">
    <w:name w:val="heading 6"/>
    <w:basedOn w:val="1"/>
    <w:next w:val="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qFormat/>
    <w:uiPriority w:val="0"/>
    <w:pPr>
      <w:keepNext/>
      <w:keepLines/>
      <w:spacing w:before="240" w:after="64" w:line="320" w:lineRule="auto"/>
      <w:outlineLvl w:val="6"/>
    </w:pPr>
    <w:rPr>
      <w:b/>
      <w:sz w:val="24"/>
      <w:szCs w:val="20"/>
    </w:rPr>
  </w:style>
  <w:style w:type="paragraph" w:styleId="12">
    <w:name w:val="heading 8"/>
    <w:basedOn w:val="1"/>
    <w:next w:val="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index 6"/>
    <w:basedOn w:val="1"/>
    <w:next w:val="1"/>
    <w:unhideWhenUsed/>
    <w:qFormat/>
    <w:uiPriority w:val="99"/>
    <w:pPr>
      <w:ind w:left="2100"/>
    </w:pPr>
    <w:rPr>
      <w:sz w:val="24"/>
    </w:rPr>
  </w:style>
  <w:style w:type="paragraph" w:styleId="9">
    <w:name w:val="Normal Indent"/>
    <w:basedOn w:val="1"/>
    <w:link w:val="51"/>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qFormat/>
    <w:uiPriority w:val="0"/>
    <w:pPr>
      <w:spacing w:after="120"/>
    </w:pPr>
    <w:rPr>
      <w:sz w:val="16"/>
      <w:szCs w:val="16"/>
    </w:rPr>
  </w:style>
  <w:style w:type="paragraph" w:styleId="19">
    <w:name w:val="Body Text Indent"/>
    <w:basedOn w:val="1"/>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7"/>
    <w:next w:val="17"/>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basedOn w:val="42"/>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字符"/>
    <w:link w:val="6"/>
    <w:qFormat/>
    <w:uiPriority w:val="0"/>
    <w:rPr>
      <w:rFonts w:ascii="Arial" w:hAnsi="Arial" w:eastAsia="黑体"/>
      <w:b/>
      <w:bCs/>
      <w:kern w:val="2"/>
      <w:sz w:val="28"/>
      <w:szCs w:val="28"/>
      <w:lang w:val="en-US" w:eastAsia="zh-CN" w:bidi="ar-SA"/>
    </w:rPr>
  </w:style>
  <w:style w:type="character" w:customStyle="1" w:styleId="48">
    <w:name w:val="标题 3 字符"/>
    <w:link w:val="5"/>
    <w:qFormat/>
    <w:uiPriority w:val="0"/>
    <w:rPr>
      <w:rFonts w:ascii="宋体" w:hAnsi="宋体" w:eastAsia="宋体"/>
      <w:b/>
      <w:bCs/>
      <w:kern w:val="2"/>
      <w:sz w:val="28"/>
      <w:szCs w:val="32"/>
      <w:lang w:val="en-US" w:eastAsia="zh-CN" w:bidi="ar-SA"/>
    </w:rPr>
  </w:style>
  <w:style w:type="character" w:customStyle="1" w:styleId="49">
    <w:name w:val="标题 1 字符"/>
    <w:link w:val="4"/>
    <w:qFormat/>
    <w:uiPriority w:val="0"/>
    <w:rPr>
      <w:rFonts w:ascii="宋体" w:hAnsi="宋体" w:eastAsia="宋体"/>
      <w:b/>
      <w:bCs/>
      <w:kern w:val="44"/>
      <w:sz w:val="32"/>
      <w:szCs w:val="36"/>
      <w:lang w:val="en-US" w:eastAsia="zh-CN" w:bidi="ar-SA"/>
    </w:rPr>
  </w:style>
  <w:style w:type="character" w:customStyle="1" w:styleId="50">
    <w:name w:val="标题 2 字符"/>
    <w:link w:val="7"/>
    <w:qFormat/>
    <w:uiPriority w:val="0"/>
    <w:rPr>
      <w:rFonts w:ascii="宋体" w:hAnsi="宋体" w:eastAsia="宋体"/>
      <w:b/>
      <w:sz w:val="28"/>
      <w:lang w:val="en-US" w:eastAsia="zh-CN" w:bidi="ar-SA"/>
    </w:rPr>
  </w:style>
  <w:style w:type="character" w:customStyle="1" w:styleId="51">
    <w:name w:val="正文缩进 字符"/>
    <w:link w:val="9"/>
    <w:qFormat/>
    <w:uiPriority w:val="0"/>
    <w:rPr>
      <w:rFonts w:eastAsia="宋体"/>
      <w:kern w:val="2"/>
      <w:sz w:val="21"/>
      <w:lang w:val="en-US" w:eastAsia="zh-CN" w:bidi="ar-SA"/>
    </w:rPr>
  </w:style>
  <w:style w:type="character" w:customStyle="1" w:styleId="52">
    <w:name w:val="批注文字 字符"/>
    <w:link w:val="17"/>
    <w:semiHidden/>
    <w:qFormat/>
    <w:uiPriority w:val="0"/>
    <w:rPr>
      <w:rFonts w:ascii="宋体" w:eastAsia="宋体"/>
      <w:sz w:val="34"/>
      <w:lang w:val="en-US" w:eastAsia="zh-CN" w:bidi="ar-SA"/>
    </w:rPr>
  </w:style>
  <w:style w:type="character" w:customStyle="1" w:styleId="53">
    <w:name w:val="页眉 字符"/>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50"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character" w:customStyle="1" w:styleId="78">
    <w:name w:val="font01"/>
    <w:basedOn w:val="42"/>
    <w:qFormat/>
    <w:uiPriority w:val="0"/>
    <w:rPr>
      <w:rFonts w:hint="eastAsia" w:ascii="宋体" w:hAnsi="宋体" w:eastAsia="宋体" w:cs="宋体"/>
      <w:color w:val="000000"/>
      <w:sz w:val="20"/>
      <w:szCs w:val="20"/>
      <w:u w:val="none"/>
    </w:rPr>
  </w:style>
  <w:style w:type="paragraph" w:styleId="7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10444</Words>
  <Characters>11011</Characters>
  <Lines>110</Lines>
  <Paragraphs>31</Paragraphs>
  <TotalTime>4</TotalTime>
  <ScaleCrop>false</ScaleCrop>
  <LinksUpToDate>false</LinksUpToDate>
  <CharactersWithSpaces>12376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2023-05-05T08:32:21Z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BB87CA5906FB4AC483E17446EA6854A3</vt:lpwstr>
  </property>
</Properties>
</file>