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eastAsia" w:ascii="华文中宋" w:hAnsi="华文中宋" w:eastAsia="华文中宋"/>
          <w:b/>
          <w:bCs/>
          <w:sz w:val="50"/>
          <w:szCs w:val="44"/>
          <w:lang w:val="en-US" w:eastAsia="zh-CN"/>
        </w:rPr>
      </w:pPr>
      <w:r>
        <w:rPr>
          <w:rFonts w:hint="eastAsia" w:ascii="华文中宋" w:hAnsi="华文中宋" w:eastAsia="华文中宋"/>
          <w:b/>
          <w:bCs/>
          <w:sz w:val="50"/>
          <w:szCs w:val="44"/>
        </w:rPr>
        <w:t>深圳实验学校</w:t>
      </w:r>
      <w:r>
        <w:rPr>
          <w:rFonts w:hint="eastAsia" w:ascii="华文中宋" w:hAnsi="华文中宋" w:eastAsia="华文中宋"/>
          <w:b/>
          <w:bCs/>
          <w:sz w:val="50"/>
          <w:szCs w:val="44"/>
          <w:lang w:val="en-US" w:eastAsia="zh-CN"/>
        </w:rPr>
        <w:t>中学部电动防撞桩</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3017</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四</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二十七</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3017</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深圳实验学校中学部电动防撞</w:t>
      </w:r>
      <w:r>
        <w:rPr>
          <w:rFonts w:hint="eastAsia" w:ascii="宋体" w:hAnsi="宋体" w:cs="宋体"/>
          <w:szCs w:val="21"/>
          <w:lang w:val="en-US" w:eastAsia="zh-CN"/>
        </w:rPr>
        <w:t>桩</w:t>
      </w:r>
      <w:r>
        <w:rPr>
          <w:rFonts w:hint="eastAsia" w:ascii="宋体" w:hAnsi="宋体" w:cs="宋体"/>
          <w:szCs w:val="21"/>
        </w:rPr>
        <w:t xml:space="preserve">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rPr>
          <w:rFonts w:ascii="宋体" w:hAnsi="宋体" w:cs="宋体"/>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hint="eastAsia" w:ascii="宋体" w:hAnsi="宋体" w:cs="宋体"/>
        </w:rPr>
      </w:pPr>
      <w:r>
        <w:rPr>
          <w:rFonts w:hint="eastAsia" w:ascii="宋体" w:hAnsi="宋体" w:cs="宋体"/>
        </w:rPr>
        <w:t>评标方法说明：</w:t>
      </w:r>
    </w:p>
    <w:p>
      <w:pPr>
        <w:adjustRightInd w:val="0"/>
        <w:snapToGrid w:val="0"/>
        <w:spacing w:line="360" w:lineRule="auto"/>
        <w:ind w:firstLine="420" w:firstLineChars="200"/>
        <w:rPr>
          <w:rFonts w:hint="eastAsia" w:ascii="宋体" w:hAnsi="宋体" w:cs="宋体"/>
        </w:rPr>
      </w:pPr>
      <w:r>
        <w:rPr>
          <w:rFonts w:hint="eastAsia" w:ascii="宋体" w:hAnsi="宋体" w:cs="宋体"/>
        </w:rPr>
        <w:t>价格分计算方法：</w:t>
      </w:r>
    </w:p>
    <w:p>
      <w:pPr>
        <w:adjustRightInd w:val="0"/>
        <w:snapToGrid w:val="0"/>
        <w:spacing w:line="360" w:lineRule="auto"/>
        <w:ind w:firstLine="420" w:firstLineChars="200"/>
        <w:rPr>
          <w:rFonts w:hint="eastAsia" w:ascii="宋体" w:hAnsi="宋体" w:cs="宋体"/>
        </w:rPr>
      </w:pPr>
      <w:r>
        <w:rPr>
          <w:rFonts w:hint="eastAsia" w:ascii="宋体" w:hAnsi="宋体" w:cs="宋体"/>
        </w:rPr>
        <w:t xml:space="preserve">    采用低价优先法计算，即满足招标文件要求且投标价格最低的投标报价为评标基准价，其价格分为满分。其他投标人的价格分统一按照下列公式计算： </w:t>
      </w:r>
    </w:p>
    <w:p>
      <w:pPr>
        <w:adjustRightInd w:val="0"/>
        <w:snapToGrid w:val="0"/>
        <w:spacing w:line="360" w:lineRule="auto"/>
        <w:ind w:firstLine="420" w:firstLineChars="200"/>
        <w:rPr>
          <w:rFonts w:hint="eastAsia" w:ascii="宋体" w:hAnsi="宋体" w:cs="宋体"/>
        </w:rPr>
      </w:pPr>
      <w:r>
        <w:rPr>
          <w:rFonts w:hint="eastAsia" w:ascii="宋体" w:hAnsi="宋体" w:cs="宋体"/>
        </w:rPr>
        <w:t xml:space="preserve">    投标报价得分=(评标基准价／投标报价)×100 </w:t>
      </w:r>
    </w:p>
    <w:p>
      <w:pPr>
        <w:adjustRightInd w:val="0"/>
        <w:snapToGrid w:val="0"/>
        <w:spacing w:line="360" w:lineRule="auto"/>
        <w:ind w:firstLine="420" w:firstLineChars="200"/>
        <w:rPr>
          <w:rFonts w:hint="eastAsia" w:ascii="宋体" w:hAnsi="宋体" w:cs="宋体"/>
        </w:rPr>
      </w:pPr>
      <w:r>
        <w:rPr>
          <w:rFonts w:hint="eastAsia" w:ascii="宋体" w:hAnsi="宋体" w:cs="宋体"/>
        </w:rPr>
        <w:t xml:space="preserve">    评标总得分＝F1×A1＋F2×A2＋……＋Fn×An </w:t>
      </w:r>
    </w:p>
    <w:p>
      <w:pPr>
        <w:adjustRightInd w:val="0"/>
        <w:snapToGrid w:val="0"/>
        <w:spacing w:line="360" w:lineRule="auto"/>
        <w:ind w:firstLine="420" w:firstLineChars="200"/>
        <w:rPr>
          <w:rFonts w:hint="eastAsia" w:ascii="宋体" w:hAnsi="宋体" w:cs="宋体"/>
        </w:rPr>
      </w:pPr>
      <w:r>
        <w:rPr>
          <w:rFonts w:hint="eastAsia" w:ascii="宋体" w:hAnsi="宋体" w:cs="宋体"/>
        </w:rPr>
        <w:t xml:space="preserve">    F1、F2……Fn分别为各项评审因素的得分； </w:t>
      </w:r>
    </w:p>
    <w:p>
      <w:pPr>
        <w:adjustRightInd w:val="0"/>
        <w:snapToGrid w:val="0"/>
        <w:spacing w:line="360" w:lineRule="auto"/>
        <w:ind w:firstLine="420" w:firstLineChars="200"/>
        <w:rPr>
          <w:rFonts w:hint="eastAsia" w:ascii="宋体" w:hAnsi="宋体" w:cs="宋体"/>
        </w:rPr>
      </w:pPr>
      <w:r>
        <w:rPr>
          <w:rFonts w:hint="eastAsia" w:ascii="宋体" w:hAnsi="宋体" w:cs="宋体"/>
        </w:rPr>
        <w:t xml:space="preserve">    A1、A2、……An 分别为各项评审因素所占的权重(A1＋A2＋……＋An＝1)。 </w:t>
      </w:r>
    </w:p>
    <w:p>
      <w:pPr>
        <w:adjustRightInd w:val="0"/>
        <w:snapToGrid w:val="0"/>
        <w:spacing w:line="360" w:lineRule="auto"/>
        <w:ind w:firstLine="420" w:firstLineChars="200"/>
        <w:rPr>
          <w:rFonts w:hint="eastAsia" w:ascii="宋体" w:hAnsi="宋体" w:cs="宋体"/>
        </w:rPr>
      </w:pPr>
      <w:r>
        <w:rPr>
          <w:rFonts w:hint="eastAsia" w:ascii="宋体" w:hAnsi="宋体" w:cs="宋体"/>
        </w:rPr>
        <w:t xml:space="preserve">    评标过程中，不得去掉报价中的最高报价和最低报价。 </w:t>
      </w:r>
    </w:p>
    <w:p>
      <w:pPr>
        <w:adjustRightInd w:val="0"/>
        <w:snapToGrid w:val="0"/>
        <w:spacing w:line="360" w:lineRule="auto"/>
        <w:ind w:firstLine="420" w:firstLineChars="200"/>
        <w:rPr>
          <w:rFonts w:hint="eastAsia" w:ascii="宋体" w:hAnsi="宋体" w:cs="宋体"/>
        </w:rPr>
      </w:pP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hint="eastAsia" w:ascii="宋体" w:hAnsi="宋体"/>
                <w:szCs w:val="21"/>
              </w:rPr>
            </w:pPr>
          </w:p>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hint="default" w:ascii="宋体" w:hAnsi="宋体" w:eastAsia="宋体"/>
                <w:szCs w:val="21"/>
                <w:lang w:val="en-US" w:eastAsia="zh-CN"/>
              </w:rPr>
            </w:pPr>
            <w:r>
              <w:rPr>
                <w:rFonts w:hint="eastAsia" w:ascii="宋体" w:hAnsi="宋体"/>
                <w:szCs w:val="21"/>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hint="default" w:ascii="宋体" w:hAnsi="宋体" w:eastAsia="仿宋_GB2312"/>
                <w:szCs w:val="21"/>
                <w:lang w:val="en-US" w:eastAsia="zh-CN"/>
              </w:rPr>
            </w:pPr>
            <w:r>
              <w:rPr>
                <w:rFonts w:hint="eastAsia" w:ascii="宋体" w:hAnsi="宋体" w:eastAsia="仿宋_GB2312" w:cs="宋体"/>
                <w:lang w:val="en-US" w:eastAsia="zh-CN"/>
              </w:rPr>
              <w:t>45</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cs="宋体"/>
                <w:lang w:val="en-US" w:eastAsia="zh-CN"/>
              </w:rPr>
              <w:t>45</w:t>
            </w:r>
            <w:r>
              <w:rPr>
                <w:rFonts w:hint="eastAsia" w:cs="宋体"/>
              </w:rPr>
              <w:t>分，带“</w:t>
            </w:r>
            <w:r>
              <w:rPr>
                <w:rFonts w:hint="eastAsia"/>
              </w:rPr>
              <w:t>▲</w:t>
            </w:r>
            <w:r>
              <w:rPr>
                <w:rFonts w:hint="eastAsia" w:cs="宋体"/>
              </w:rPr>
              <w:t>”指标，每负偏离一项扣</w:t>
            </w:r>
            <w:r>
              <w:rPr>
                <w:color w:val="FF0000"/>
              </w:rPr>
              <w:t>5</w:t>
            </w:r>
            <w:r>
              <w:rPr>
                <w:rFonts w:hint="eastAsia" w:cs="宋体"/>
              </w:rPr>
              <w:t>分，其余指标每负偏离一项扣</w:t>
            </w:r>
            <w:r>
              <w:rPr>
                <w:rFonts w:hint="eastAsia"/>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rPr>
                <w:rFonts w:hint="eastAsia"/>
                <w:lang w:val="en-US" w:eastAsia="zh-CN"/>
              </w:rPr>
              <w:t>3</w:t>
            </w:r>
            <w:r>
              <w:rPr>
                <w:rFonts w:hint="eastAsia" w:cs="宋体"/>
              </w:rPr>
              <w:t>，每负偏离一项扣</w:t>
            </w:r>
            <w:r>
              <w:rPr>
                <w:rFonts w:hint="eastAsia"/>
                <w:color w:val="FF0000"/>
                <w:lang w:val="en-US" w:eastAsia="zh-CN"/>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hint="default" w:ascii="宋体" w:hAnsi="宋体" w:eastAsia="宋体"/>
                <w:szCs w:val="21"/>
                <w:lang w:val="en-US" w:eastAsia="zh-CN"/>
              </w:rPr>
            </w:pPr>
            <w:r>
              <w:rPr>
                <w:rFonts w:hint="eastAsia" w:ascii="宋体" w:hAnsi="宋体"/>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hint="eastAsia" w:ascii="宋体" w:hAnsi="宋体" w:eastAsia="宋体"/>
                <w:szCs w:val="21"/>
                <w:lang w:val="en-US" w:eastAsia="zh-CN"/>
              </w:rPr>
            </w:pPr>
            <w:r>
              <w:rPr>
                <w:rFonts w:hint="eastAsia" w:ascii="宋体" w:hAnsi="宋体"/>
                <w:szCs w:val="21"/>
                <w:lang w:val="en-US" w:eastAsia="zh-CN"/>
              </w:rPr>
              <w:t>4</w:t>
            </w:r>
          </w:p>
        </w:tc>
        <w:tc>
          <w:tcPr>
            <w:tcW w:w="1559" w:type="dxa"/>
            <w:vAlign w:val="center"/>
          </w:tcPr>
          <w:p>
            <w:pPr>
              <w:spacing w:line="240" w:lineRule="exact"/>
              <w:jc w:val="center"/>
              <w:rPr>
                <w:rFonts w:hint="default" w:ascii="宋体" w:hAnsi="宋体" w:eastAsia="宋体"/>
                <w:szCs w:val="21"/>
                <w:lang w:val="en-US" w:eastAsia="zh-CN"/>
              </w:rPr>
            </w:pPr>
            <w:r>
              <w:rPr>
                <w:rFonts w:hint="eastAsia" w:ascii="宋体" w:hAnsi="宋体"/>
                <w:szCs w:val="21"/>
                <w:lang w:val="en-US" w:eastAsia="zh-CN"/>
              </w:rPr>
              <w:t>诚信情况</w:t>
            </w:r>
          </w:p>
        </w:tc>
        <w:tc>
          <w:tcPr>
            <w:tcW w:w="709" w:type="dxa"/>
            <w:vAlign w:val="center"/>
          </w:tcPr>
          <w:p>
            <w:pPr>
              <w:spacing w:line="24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1162" w:type="dxa"/>
            <w:vAlign w:val="center"/>
          </w:tcPr>
          <w:p>
            <w:pPr>
              <w:spacing w:line="240" w:lineRule="exact"/>
              <w:jc w:val="center"/>
              <w:rPr>
                <w:rFonts w:hint="eastAsia" w:ascii="宋体" w:hAnsi="宋体"/>
                <w:szCs w:val="21"/>
              </w:rPr>
            </w:pPr>
            <w:r>
              <w:rPr>
                <w:rFonts w:hint="eastAsia" w:ascii="宋体" w:hAnsi="宋体"/>
                <w:szCs w:val="21"/>
              </w:rPr>
              <w:t>专家评分</w:t>
            </w:r>
          </w:p>
        </w:tc>
        <w:tc>
          <w:tcPr>
            <w:tcW w:w="3295" w:type="dxa"/>
            <w:vAlign w:val="center"/>
          </w:tcPr>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投标人在经营活动中存在诚信相关问题且在主管部门相关处理措施实施期限内的，本项不得分，否则得满分。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投标人必须提供市场监督管理局查询页截图及深圳市政府采购监管网诚信档案查询页截图及信用中国查询页截图备查，如提供不清晰导致无法判断的不得分。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查询网页如下：</w:t>
            </w:r>
          </w:p>
          <w:p>
            <w:pPr>
              <w:pStyle w:val="78"/>
              <w:rPr>
                <w:rFonts w:hint="default"/>
                <w:lang w:val="en-US" w:eastAsia="zh-CN"/>
              </w:rPr>
            </w:pPr>
            <w:r>
              <w:rPr>
                <w:rFonts w:hint="default"/>
                <w:lang w:val="en-US" w:eastAsia="zh-CN"/>
              </w:rPr>
              <w:fldChar w:fldCharType="begin"/>
            </w:r>
            <w:r>
              <w:rPr>
                <w:rFonts w:hint="default"/>
                <w:lang w:val="en-US" w:eastAsia="zh-CN"/>
              </w:rPr>
              <w:instrText xml:space="preserve"> HYPERLINK "https://amr.sz.gov.cn/xyjggs.webui/xyjggs/index.aspx" </w:instrText>
            </w:r>
            <w:r>
              <w:rPr>
                <w:rFonts w:hint="default"/>
                <w:lang w:val="en-US" w:eastAsia="zh-CN"/>
              </w:rPr>
              <w:fldChar w:fldCharType="separate"/>
            </w:r>
            <w:r>
              <w:rPr>
                <w:rStyle w:val="44"/>
                <w:rFonts w:hint="default"/>
                <w:lang w:val="en-US" w:eastAsia="zh-CN"/>
              </w:rPr>
              <w:t>https://amr.sz.gov.cn/xyjggs.webui/xyjggs/index.aspx</w:t>
            </w:r>
            <w:r>
              <w:rPr>
                <w:rFonts w:hint="default"/>
                <w:lang w:val="en-US" w:eastAsia="zh-CN"/>
              </w:rPr>
              <w:fldChar w:fldCharType="end"/>
            </w:r>
            <w:r>
              <w:rPr>
                <w:rFonts w:hint="eastAsia"/>
                <w:lang w:val="en-US" w:eastAsia="zh-CN"/>
              </w:rPr>
              <w:t>（深圳市市场监督管理局）</w:t>
            </w:r>
          </w:p>
          <w:p>
            <w:pPr>
              <w:pStyle w:val="78"/>
              <w:rPr>
                <w:rFonts w:hint="default"/>
                <w:lang w:val="en-US" w:eastAsia="zh-CN"/>
              </w:rPr>
            </w:pPr>
            <w:r>
              <w:rPr>
                <w:rFonts w:hint="default"/>
                <w:lang w:val="en-US" w:eastAsia="zh-CN"/>
              </w:rPr>
              <w:fldChar w:fldCharType="begin"/>
            </w:r>
            <w:r>
              <w:rPr>
                <w:rFonts w:hint="default"/>
                <w:lang w:val="en-US" w:eastAsia="zh-CN"/>
              </w:rPr>
              <w:instrText xml:space="preserve"> HYPERLINK "http://zfcg.sz.gov.cn/cgjg/cxda/index.html" </w:instrText>
            </w:r>
            <w:r>
              <w:rPr>
                <w:rFonts w:hint="default"/>
                <w:lang w:val="en-US" w:eastAsia="zh-CN"/>
              </w:rPr>
              <w:fldChar w:fldCharType="separate"/>
            </w:r>
            <w:r>
              <w:rPr>
                <w:rStyle w:val="44"/>
                <w:rFonts w:hint="default"/>
                <w:lang w:val="en-US" w:eastAsia="zh-CN"/>
              </w:rPr>
              <w:t>http://zfcg.sz.gov.cn/cgjg/cxda/index.html</w:t>
            </w:r>
            <w:r>
              <w:rPr>
                <w:rFonts w:hint="default"/>
                <w:lang w:val="en-US" w:eastAsia="zh-CN"/>
              </w:rPr>
              <w:fldChar w:fldCharType="end"/>
            </w:r>
            <w:r>
              <w:rPr>
                <w:rFonts w:hint="eastAsia"/>
                <w:lang w:val="en-US" w:eastAsia="zh-CN"/>
              </w:rPr>
              <w:t>（深圳市政府采购监管网）</w:t>
            </w:r>
          </w:p>
          <w:p>
            <w:pPr>
              <w:snapToGrid w:val="0"/>
              <w:spacing w:line="300" w:lineRule="auto"/>
              <w:rPr>
                <w:rFonts w:hint="eastAsia" w:ascii="宋体" w:hAnsi="宋体"/>
                <w:szCs w:val="21"/>
              </w:rPr>
            </w:pPr>
            <w:r>
              <w:rPr>
                <w:rFonts w:hint="default"/>
                <w:lang w:val="en-US" w:eastAsia="zh-CN"/>
              </w:rPr>
              <w:fldChar w:fldCharType="begin"/>
            </w:r>
            <w:r>
              <w:rPr>
                <w:rFonts w:hint="default"/>
                <w:lang w:val="en-US" w:eastAsia="zh-CN"/>
              </w:rPr>
              <w:instrText xml:space="preserve"> HYPERLINK "https://www.creditchina.gov.cn/home/index.html" </w:instrText>
            </w:r>
            <w:r>
              <w:rPr>
                <w:rFonts w:hint="default"/>
                <w:lang w:val="en-US" w:eastAsia="zh-CN"/>
              </w:rPr>
              <w:fldChar w:fldCharType="separate"/>
            </w:r>
            <w:r>
              <w:rPr>
                <w:rStyle w:val="44"/>
                <w:rFonts w:hint="default"/>
                <w:lang w:val="en-US" w:eastAsia="zh-CN"/>
              </w:rPr>
              <w:t>https://www.creditchina.gov.cn/home/index.html</w:t>
            </w:r>
            <w:r>
              <w:rPr>
                <w:rFonts w:hint="default"/>
                <w:lang w:val="en-US" w:eastAsia="zh-CN"/>
              </w:rPr>
              <w:fldChar w:fldCharType="end"/>
            </w:r>
            <w:r>
              <w:rPr>
                <w:rFonts w:hint="eastAsia"/>
                <w:lang w:val="en-US" w:eastAsia="zh-CN"/>
              </w:rPr>
              <w:t>（信用中国）</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投标报价汇总表"/>
      <w:bookmarkEnd w:id="3"/>
      <w:bookmarkStart w:id="4" w:name="bt说明"/>
      <w:bookmarkEnd w:id="4"/>
      <w:bookmarkStart w:id="5" w:name="bt投标人须知"/>
      <w:bookmarkEnd w:id="5"/>
      <w:bookmarkStart w:id="6" w:name="合同格式"/>
      <w:bookmarkEnd w:id="6"/>
      <w:bookmarkStart w:id="7" w:name="bt合同条款"/>
      <w:bookmarkEnd w:id="7"/>
      <w:bookmarkStart w:id="8" w:name="bt合同格式"/>
      <w:bookmarkEnd w:id="8"/>
      <w:bookmarkStart w:id="9" w:name="bt本工程承诺书"/>
      <w:bookmarkEnd w:id="9"/>
      <w:bookmarkStart w:id="10" w:name="bt项目管理班子配备情况"/>
      <w:bookmarkEnd w:id="10"/>
      <w:bookmarkStart w:id="11" w:name="bt投标函"/>
      <w:bookmarkEnd w:id="11"/>
      <w:bookmarkStart w:id="12" w:name="bt投标人情况介绍"/>
      <w:bookmarkEnd w:id="12"/>
      <w:bookmarkStart w:id="13" w:name="bt其他资料由投标人自定"/>
      <w:bookmarkEnd w:id="13"/>
      <w:bookmarkStart w:id="14" w:name="bt其他资料2"/>
      <w:bookmarkEnd w:id="14"/>
      <w:bookmarkStart w:id="15" w:name="bt开标一览表"/>
      <w:bookmarkEnd w:id="15"/>
      <w:bookmarkStart w:id="16" w:name="bt商务标投标文件格式"/>
      <w:bookmarkEnd w:id="16"/>
      <w:bookmarkStart w:id="17" w:name="bt合同条款及格式"/>
      <w:bookmarkEnd w:id="17"/>
      <w:bookmarkStart w:id="18" w:name="bt技术标投标文件格式"/>
      <w:bookmarkEnd w:id="18"/>
      <w:bookmarkStart w:id="19" w:name="bt投标文件签署授权委托书"/>
      <w:bookmarkEnd w:id="19"/>
    </w:p>
    <w:p>
      <w:pPr>
        <w:pStyle w:val="2"/>
        <w:pageBreakBefore w:val="0"/>
        <w:kinsoku/>
        <w:wordWrap/>
        <w:overflowPunct/>
        <w:topLinePunct w:val="0"/>
        <w:autoSpaceDE/>
        <w:autoSpaceDN/>
        <w:bidi w:val="0"/>
        <w:snapToGrid/>
        <w:spacing w:line="320" w:lineRule="exact"/>
      </w:pPr>
      <w:r>
        <w:rPr>
          <w:rFonts w:hint="eastAsia"/>
        </w:rPr>
        <w:t>第二章  项目需求</w:t>
      </w: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73521547"/>
      <w:bookmarkStart w:id="21" w:name="_Toc60560625"/>
      <w:bookmarkStart w:id="22" w:name="_Toc73517639"/>
      <w:bookmarkStart w:id="23" w:name="_Toc73518117"/>
      <w:bookmarkStart w:id="24" w:name="_Toc73521635"/>
      <w:bookmarkStart w:id="25" w:name="_Toc101074876"/>
      <w:bookmarkStart w:id="26" w:name="_Toc60631620"/>
      <w:bookmarkStart w:id="27" w:name="_Toc100052364"/>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深圳实验学校中学部电动防撞桩</w:t>
      </w:r>
      <w:r>
        <w:rPr>
          <w:rFonts w:hint="eastAsia" w:ascii="宋体" w:hAnsi="宋体" w:cs="宋体"/>
          <w:szCs w:val="21"/>
        </w:rPr>
        <w:t>。</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5"/>
        <w:spacing w:before="156" w:beforeLines="50" w:after="156" w:afterLines="50"/>
        <w:jc w:val="center"/>
        <w:rPr>
          <w:rFonts w:ascii="宋体" w:hAnsi="宋体" w:eastAsia="宋体"/>
          <w:color w:val="auto"/>
          <w:sz w:val="28"/>
          <w:szCs w:val="28"/>
        </w:rPr>
      </w:pPr>
      <w:r>
        <w:rPr>
          <w:rFonts w:hint="eastAsia" w:ascii="宋体" w:hAnsi="宋体" w:eastAsia="宋体"/>
          <w:color w:val="auto"/>
          <w:sz w:val="28"/>
          <w:szCs w:val="28"/>
        </w:rPr>
        <w:t>二、实质性响应条款</w:t>
      </w:r>
    </w:p>
    <w:p>
      <w:pPr>
        <w:rPr>
          <w:b/>
          <w:color w:val="auto"/>
          <w:szCs w:val="21"/>
        </w:rPr>
      </w:pPr>
      <w:r>
        <w:rPr>
          <w:rFonts w:hint="eastAsia"/>
          <w:b/>
          <w:color w:val="auto"/>
          <w:szCs w:val="21"/>
        </w:rPr>
        <w:t>说明：</w:t>
      </w:r>
      <w:r>
        <w:rPr>
          <w:b/>
          <w:color w:val="auto"/>
          <w:szCs w:val="21"/>
        </w:rPr>
        <w:t>1.</w:t>
      </w:r>
      <w:r>
        <w:rPr>
          <w:rFonts w:hint="eastAsia"/>
          <w:b/>
          <w:color w:val="auto"/>
          <w:szCs w:val="21"/>
        </w:rPr>
        <w:t>关于实质性响应条款，参与本项目的投标人默认承诺按将完全满足“实质性响应条款”所述全部内容的前提下进行投标。</w:t>
      </w:r>
    </w:p>
    <w:tbl>
      <w:tblPr>
        <w:tblStyle w:val="39"/>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noWrap w:val="0"/>
            <w:vAlign w:val="top"/>
          </w:tcPr>
          <w:p>
            <w:pPr>
              <w:adjustRightInd w:val="0"/>
              <w:snapToGrid w:val="0"/>
              <w:spacing w:line="360" w:lineRule="auto"/>
              <w:rPr>
                <w:rFonts w:hAnsi="宋体"/>
                <w:kern w:val="0"/>
                <w:szCs w:val="21"/>
              </w:rPr>
            </w:pPr>
            <w:r>
              <w:rPr>
                <w:rFonts w:hint="eastAsia" w:hAnsi="宋体"/>
                <w:kern w:val="0"/>
                <w:szCs w:val="21"/>
              </w:rPr>
              <w:t>本项目服务的</w:t>
            </w:r>
            <w:r>
              <w:rPr>
                <w:rFonts w:hint="eastAsia" w:hAnsi="宋体"/>
                <w:kern w:val="0"/>
                <w:szCs w:val="21"/>
                <w:lang w:val="en-US" w:eastAsia="zh-CN"/>
              </w:rPr>
              <w:t>资质</w:t>
            </w:r>
            <w:r>
              <w:rPr>
                <w:rFonts w:hint="eastAsia" w:hAnsi="宋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noWrap w:val="0"/>
            <w:vAlign w:val="top"/>
          </w:tcPr>
          <w:p>
            <w:pPr>
              <w:adjustRightInd w:val="0"/>
              <w:snapToGrid w:val="0"/>
              <w:spacing w:line="360" w:lineRule="auto"/>
              <w:rPr>
                <w:rFonts w:hint="default" w:hAnsi="宋体" w:eastAsia="宋体"/>
                <w:kern w:val="0"/>
                <w:szCs w:val="21"/>
                <w:lang w:val="en-US" w:eastAsia="zh-CN"/>
              </w:rPr>
            </w:pPr>
            <w:r>
              <w:rPr>
                <w:rFonts w:hint="eastAsia" w:hAnsi="宋体"/>
                <w:kern w:val="0"/>
                <w:szCs w:val="21"/>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w:t>
            </w:r>
          </w:p>
        </w:tc>
        <w:tc>
          <w:tcPr>
            <w:tcW w:w="7483" w:type="dxa"/>
            <w:noWrap w:val="0"/>
            <w:vAlign w:val="top"/>
          </w:tcPr>
          <w:p>
            <w:pPr>
              <w:adjustRightInd w:val="0"/>
              <w:snapToGrid w:val="0"/>
              <w:spacing w:line="360" w:lineRule="auto"/>
              <w:rPr>
                <w:rFonts w:hAnsi="宋体"/>
                <w:kern w:val="0"/>
                <w:szCs w:val="21"/>
              </w:rPr>
            </w:pPr>
          </w:p>
        </w:tc>
      </w:tr>
    </w:tbl>
    <w:p>
      <w:pPr>
        <w:rPr>
          <w:color w:val="auto"/>
          <w:highlight w:val="none"/>
        </w:rPr>
      </w:pPr>
      <w:r>
        <w:rPr>
          <w:rFonts w:hint="eastAsia"/>
          <w:color w:val="auto"/>
          <w:highlight w:val="none"/>
        </w:rPr>
        <w:t>注：上表所列内容为不可负偏离条款，即任何一条不满足将会导致投标无效。</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39"/>
        <w:tblpPr w:leftFromText="180" w:rightFromText="180" w:vertAnchor="text" w:horzAnchor="page" w:tblpXSpec="center" w:tblpY="266"/>
        <w:tblOverlap w:val="never"/>
        <w:tblW w:w="48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994"/>
        <w:gridCol w:w="2938"/>
        <w:gridCol w:w="904"/>
        <w:gridCol w:w="751"/>
        <w:gridCol w:w="1378"/>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93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75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378"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81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keepNext w:val="0"/>
              <w:keepLines w:val="0"/>
              <w:widowControl/>
              <w:suppressLineNumbers w:val="0"/>
              <w:jc w:val="center"/>
              <w:textAlignment w:val="center"/>
              <w:rPr>
                <w:rFonts w:ascii="宋体" w:hAnsi="宋体" w:cs="宋体"/>
                <w:color w:val="000000"/>
                <w:kern w:val="0"/>
                <w:sz w:val="18"/>
                <w:szCs w:val="18"/>
                <w:lang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cs="宋体" w:asciiTheme="minorEastAsia" w:hAnsiTheme="minorEastAsia" w:eastAsiaTheme="minorEastAsia"/>
                <w:kern w:val="0"/>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全自动升降防撞柱</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20</w:t>
            </w:r>
          </w:p>
        </w:tc>
        <w:tc>
          <w:tcPr>
            <w:tcW w:w="751"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1378"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r>
              <w:rPr>
                <w:rFonts w:hint="eastAsia" w:ascii="宋体" w:hAnsi="宋体" w:cs="宋体"/>
                <w:b/>
                <w:szCs w:val="21"/>
                <w:lang w:val="en-US" w:eastAsia="zh-CN"/>
              </w:rPr>
              <w:t>190000</w:t>
            </w: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keepNext w:val="0"/>
              <w:keepLines w:val="0"/>
              <w:widowControl/>
              <w:suppressLineNumbers w:val="0"/>
              <w:jc w:val="center"/>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2</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控制系统单元箱</w:t>
            </w:r>
          </w:p>
        </w:tc>
        <w:tc>
          <w:tcPr>
            <w:tcW w:w="904"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w:t>
            </w:r>
          </w:p>
        </w:tc>
        <w:tc>
          <w:tcPr>
            <w:tcW w:w="751"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keepNext w:val="0"/>
              <w:keepLines w:val="0"/>
              <w:widowControl/>
              <w:suppressLineNumbers w:val="0"/>
              <w:jc w:val="center"/>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3</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防雷器</w:t>
            </w:r>
          </w:p>
        </w:tc>
        <w:tc>
          <w:tcPr>
            <w:tcW w:w="904"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w:t>
            </w:r>
          </w:p>
        </w:tc>
        <w:tc>
          <w:tcPr>
            <w:tcW w:w="751"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keepNext w:val="0"/>
              <w:keepLines w:val="0"/>
              <w:widowControl/>
              <w:suppressLineNumbers w:val="0"/>
              <w:jc w:val="center"/>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4</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安装及辅材</w:t>
            </w:r>
          </w:p>
        </w:tc>
        <w:tc>
          <w:tcPr>
            <w:tcW w:w="904"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751"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bl>
    <w:p>
      <w:pPr>
        <w:pageBreakBefore w:val="0"/>
        <w:kinsoku/>
        <w:wordWrap/>
        <w:overflowPunct/>
        <w:topLinePunct w:val="0"/>
        <w:autoSpaceDE/>
        <w:autoSpaceDN/>
        <w:bidi w:val="0"/>
        <w:snapToGrid/>
        <w:spacing w:line="320" w:lineRule="exact"/>
        <w:rPr>
          <w:rFonts w:hint="eastAsia" w:ascii="宋体" w:hAnsi="宋体" w:eastAsia="宋体" w:cs="宋体"/>
          <w:b/>
          <w:szCs w:val="21"/>
          <w:lang w:val="en-US" w:eastAsia="zh-CN"/>
        </w:rPr>
      </w:pP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0"/>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43"/>
        <w:gridCol w:w="5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14"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2243"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5957"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22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全自动升降防撞柱</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1.升降柱体材质为304不锈钢，表面处理6K镜光面；</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2.方形法兰盘，不锈钢材质；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3.柱体直径：≥219mm，厚度6mm,升起后阻挡高度（600±2）mm；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rPr>
              <w:t>▲</w:t>
            </w:r>
            <w:r>
              <w:rPr>
                <w:rFonts w:hint="eastAsia" w:ascii="微软雅黑" w:hAnsi="微软雅黑" w:eastAsia="微软雅黑" w:cs="微软雅黑"/>
                <w:i w:val="0"/>
                <w:iCs w:val="0"/>
                <w:color w:val="000000"/>
                <w:kern w:val="0"/>
                <w:sz w:val="22"/>
                <w:szCs w:val="22"/>
                <w:u w:val="none"/>
                <w:lang w:val="en-US" w:eastAsia="zh-CN" w:bidi="ar"/>
              </w:rPr>
              <w:t>4.防水等级达到IP68级</w:t>
            </w:r>
            <w:r>
              <w:rPr>
                <w:rFonts w:hint="eastAsia" w:ascii="微软雅黑" w:hAnsi="微软雅黑" w:eastAsia="微软雅黑" w:cs="微软雅黑"/>
                <w:i w:val="0"/>
                <w:iCs w:val="0"/>
                <w:color w:val="000000"/>
                <w:kern w:val="0"/>
                <w:sz w:val="22"/>
                <w:szCs w:val="22"/>
                <w:highlight w:val="none"/>
                <w:u w:val="none"/>
                <w:lang w:val="en-US" w:eastAsia="zh-CN" w:bidi="ar"/>
              </w:rPr>
              <w:t>（提供具有CMA或CNAS认证检测报告）；</w:t>
            </w:r>
            <w:r>
              <w:rPr>
                <w:rFonts w:hint="eastAsia" w:ascii="微软雅黑" w:hAnsi="微软雅黑" w:eastAsia="微软雅黑" w:cs="微软雅黑"/>
                <w:i w:val="0"/>
                <w:iCs w:val="0"/>
                <w:color w:val="000000"/>
                <w:kern w:val="0"/>
                <w:sz w:val="22"/>
                <w:szCs w:val="22"/>
                <w:highlight w:val="none"/>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5.连续运行要求：上升时间不超过3-6s；</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6.噪声：产品运行时噪声应小于60dB(A)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7.地面法兰面盘：强度抗拉强度≥ 800Mpa， 规定塑性延伸强度≥320Mpa；</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8.警示灯:柱顶LED警示灯带，支持7种颜色随意转换，还可三种颜色不间断闪烁，一种颜色常亮，时间设置；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9.设备的抗电强度、泄露电流符合GA/T 1343-2016中项目5.7 的规范，设备在外加电源下不应出现飞狐和击穿现象，泄漏电流应≤5mA（P-P）；</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10.设备的绝缘电阻应符合GA/T 1343-2016中项目5.7 的规定，设备绝缘电阻应大于5MΩ；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11.外壳防护等级应符合GB/T4208-2017 中IP68 要求恒温装置：内置恒温装置，恒温温度 40℃ ±3℃；</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rPr>
              <w:t>▲</w:t>
            </w:r>
            <w:r>
              <w:rPr>
                <w:rFonts w:hint="eastAsia" w:ascii="微软雅黑" w:hAnsi="微软雅黑" w:eastAsia="微软雅黑" w:cs="微软雅黑"/>
                <w:i w:val="0"/>
                <w:iCs w:val="0"/>
                <w:color w:val="000000"/>
                <w:kern w:val="0"/>
                <w:sz w:val="22"/>
                <w:szCs w:val="22"/>
                <w:u w:val="none"/>
                <w:lang w:val="en-US" w:eastAsia="zh-CN" w:bidi="ar"/>
              </w:rPr>
              <w:t>12.防腐性能等级：9级</w:t>
            </w:r>
            <w:r>
              <w:rPr>
                <w:rFonts w:hint="eastAsia" w:ascii="微软雅黑" w:hAnsi="微软雅黑" w:eastAsia="微软雅黑" w:cs="微软雅黑"/>
                <w:i w:val="0"/>
                <w:iCs w:val="0"/>
                <w:color w:val="000000"/>
                <w:kern w:val="0"/>
                <w:sz w:val="22"/>
                <w:szCs w:val="22"/>
                <w:highlight w:val="none"/>
                <w:u w:val="none"/>
                <w:lang w:val="en-US" w:eastAsia="zh-CN" w:bidi="ar"/>
              </w:rPr>
              <w:t>（提供检测报告）；</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13.在外部供电停止状态下，应自备电源或具有手动升降功能；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14.静电放电抗扰度、电快速瞬变脉冲群抗扰度、浪涌（冲击）抗扰度应符合GA/T 1343-2016中项目5.8的规定，产品不应出现因条件试验（静电放电，电快速瞬变脉冲群，浪涌）而导致的损坏、故障后状态的改变现象，允许指示装置闪烁，但产品应无永久性损坏或输出端口无任何改变；</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15.满足</w:t>
            </w:r>
            <w:r>
              <w:rPr>
                <w:rFonts w:hint="eastAsia" w:ascii="微软雅黑" w:hAnsi="微软雅黑" w:eastAsia="微软雅黑" w:cs="微软雅黑"/>
                <w:i w:val="0"/>
                <w:iCs w:val="0"/>
                <w:color w:val="000000"/>
                <w:kern w:val="0"/>
                <w:sz w:val="22"/>
                <w:szCs w:val="22"/>
                <w:highlight w:val="none"/>
                <w:u w:val="none"/>
                <w:lang w:val="en-US" w:eastAsia="zh-CN" w:bidi="ar"/>
              </w:rPr>
              <w:t>GA/T394-2002出</w:t>
            </w:r>
            <w:r>
              <w:rPr>
                <w:rFonts w:hint="eastAsia" w:ascii="微软雅黑" w:hAnsi="微软雅黑" w:eastAsia="微软雅黑" w:cs="微软雅黑"/>
                <w:i w:val="0"/>
                <w:iCs w:val="0"/>
                <w:color w:val="000000"/>
                <w:kern w:val="0"/>
                <w:sz w:val="22"/>
                <w:szCs w:val="22"/>
                <w:u w:val="none"/>
                <w:lang w:val="en-US" w:eastAsia="zh-CN" w:bidi="ar"/>
              </w:rPr>
              <w:t>入口控制系统技术要求；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4" w:type="dxa"/>
            <w:vAlign w:val="center"/>
          </w:tcPr>
          <w:p>
            <w:pPr>
              <w:keepNext w:val="0"/>
              <w:keepLines w:val="0"/>
              <w:widowControl/>
              <w:suppressLineNumbers w:val="0"/>
              <w:jc w:val="center"/>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2</w:t>
            </w: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控制系统单元箱</w:t>
            </w:r>
          </w:p>
        </w:tc>
        <w:tc>
          <w:tcPr>
            <w:tcW w:w="5957" w:type="dxa"/>
            <w:vAlign w:val="center"/>
          </w:tcPr>
          <w:p>
            <w:pPr>
              <w:keepNext w:val="0"/>
              <w:keepLines w:val="0"/>
              <w:widowControl/>
              <w:suppressLineNumbers w:val="0"/>
              <w:spacing w:after="220" w:afterAutospacing="0"/>
              <w:jc w:val="left"/>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1.控制系统灵活机动，稳定性高，工作电压24V；</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2.控制方式：遥控装置、线控装置、远程装置；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3.PLC控制编程器，支持双串口，支持X-NET总线；</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4.支持过载保护，漏电功能；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5.控制箱触摸屏显示屏文本可调节（上升，下降，起动，时间控制调节）；</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6.触摸屏显示带中英文双语言、触摸屏显示屏可查询升降信号日志、可下载升降信号日志、日期保存时间2年；</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7.触摸屏：Cortex-A7 处理器， 主频 1GHz， 内置 128MB内存， 像素1677 万色， 分辨率 800*480， 2 个通讯口， COM1支持 RS232/RS485， COM2口支持 RS232/RS485/RS422， USB-B 下载方式， 支持 CSV 数据导入导出和 U 盘下载；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8.预留有读卡器开闸及地感检测信号接口，可以兼容任何的开闸信号；</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9.遥控工作频率：315M,使用动态码制式；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10.控制器自带补压功能，补压时间可在文本显示器上设置；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rPr>
              <w:t>▲</w:t>
            </w:r>
            <w:r>
              <w:rPr>
                <w:rFonts w:hint="eastAsia" w:ascii="微软雅黑" w:hAnsi="微软雅黑" w:eastAsia="微软雅黑" w:cs="微软雅黑"/>
                <w:i w:val="0"/>
                <w:iCs w:val="0"/>
                <w:color w:val="000000"/>
                <w:kern w:val="0"/>
                <w:sz w:val="22"/>
                <w:szCs w:val="22"/>
                <w:u w:val="none"/>
                <w:lang w:val="en-US" w:eastAsia="zh-CN" w:bidi="ar"/>
              </w:rPr>
              <w:t>11.需具备远程控制功能、反恐联动（需提供证书达V1.0标准）；</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12.有线远程控制器为独立云模块UDP转开关量信号，支持系统WIN,Android，APP；</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13.远程模块需提供UDP协议说明,软件提供：LK、LD、LE、LR、LO、ID、KY、OY功能。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vAlign w:val="center"/>
          </w:tcPr>
          <w:p>
            <w:pPr>
              <w:keepNext w:val="0"/>
              <w:keepLines w:val="0"/>
              <w:widowControl/>
              <w:suppressLineNumbers w:val="0"/>
              <w:jc w:val="center"/>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3</w:t>
            </w: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防雷器</w:t>
            </w:r>
          </w:p>
        </w:tc>
        <w:tc>
          <w:tcPr>
            <w:tcW w:w="5957" w:type="dxa"/>
            <w:vAlign w:val="center"/>
          </w:tcPr>
          <w:p>
            <w:pPr>
              <w:keepNext w:val="0"/>
              <w:keepLines w:val="0"/>
              <w:widowControl/>
              <w:suppressLineNumbers w:val="0"/>
              <w:jc w:val="left"/>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1.最大持续工作电压（Uc）：不低于5V；对地漏电流不大于1mA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2.对地阻抗：不小于1kΩ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3.冲击耐受力1n：复测电压保护等级≤448V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4.电压保护等级Ug;线间应≤30V，线对地≤500V；</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5.保护接地:保护接地线的截面积不小于0.75mm²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6.着火危险性：不易燃。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714" w:type="dxa"/>
            <w:vAlign w:val="center"/>
          </w:tcPr>
          <w:p>
            <w:pPr>
              <w:keepNext w:val="0"/>
              <w:keepLines w:val="0"/>
              <w:widowControl/>
              <w:suppressLineNumbers w:val="0"/>
              <w:jc w:val="center"/>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4</w:t>
            </w: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安装及辅材</w:t>
            </w:r>
          </w:p>
        </w:tc>
        <w:tc>
          <w:tcPr>
            <w:tcW w:w="5957" w:type="dxa"/>
            <w:vAlign w:val="center"/>
          </w:tcPr>
          <w:p>
            <w:pPr>
              <w:keepNext w:val="0"/>
              <w:keepLines w:val="0"/>
              <w:widowControl/>
              <w:suppressLineNumbers w:val="0"/>
              <w:spacing w:after="220" w:afterAutospacing="0"/>
              <w:jc w:val="left"/>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1.路面检测，确认地下施工环境，路面切割开挖掘深1.2米、宽0.7米，路面使用C30混凝土，河沙，碎石等进行恢复；</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2.投标时须提供现场实施方案、效果图及施工图；</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3.控制柜需要单独走独立主电源3*4平方（根据现场安装需要，总量200米）；</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4.辅材（电机主电源RVV3*2.5 mm2，总量150米；其它电源线（RVV4*1.0 mm2、RVV2*1.0mm2），总量300米；管材（50、32、6PVC），总量250米）；</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5.带浮球排水泵2个；</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6.垃圾清运、场地清理。</w:t>
            </w:r>
          </w:p>
        </w:tc>
      </w:tr>
    </w:tbl>
    <w:p/>
    <w:p>
      <w:pPr>
        <w:rPr>
          <w:rFonts w:hint="eastAsia" w:cs="宋体"/>
          <w:szCs w:val="28"/>
          <w:lang w:val="en-US" w:eastAsia="zh-CN"/>
        </w:rPr>
      </w:pPr>
      <w:r>
        <w:rPr>
          <w:rFonts w:hint="eastAsia" w:cs="宋体"/>
          <w:szCs w:val="28"/>
          <w:lang w:val="en-US" w:eastAsia="zh-CN"/>
        </w:rPr>
        <w:br w:type="page"/>
      </w:r>
    </w:p>
    <w:p>
      <w:pPr>
        <w:pStyle w:val="5"/>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五、商务需求</w:t>
      </w:r>
    </w:p>
    <w:p>
      <w:pPr>
        <w:rPr>
          <w:rFonts w:ascii="宋体" w:hAnsi="宋体" w:cs="宋体"/>
          <w:b/>
        </w:rPr>
      </w:pPr>
    </w:p>
    <w:tbl>
      <w:tblPr>
        <w:tblStyle w:val="39"/>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pPr>
              <w:rPr>
                <w:rFonts w:hint="eastAsia" w:ascii="宋体" w:hAnsi="宋体" w:cs="宋体"/>
                <w:bCs/>
                <w:szCs w:val="21"/>
              </w:rPr>
            </w:pPr>
            <w:r>
              <w:rPr>
                <w:rFonts w:hint="eastAsia" w:ascii="宋体" w:hAnsi="宋体" w:cs="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pP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6088" w:type="dxa"/>
            <w:vAlign w:val="center"/>
          </w:tcPr>
          <w:p>
            <w:pPr>
              <w:rPr>
                <w:rFonts w:hint="eastAsia" w:ascii="宋体" w:hAnsi="宋体" w:eastAsia="宋体" w:cs="宋体"/>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pPr>
              <w:rPr>
                <w:rFonts w:hint="default" w:ascii="宋体" w:hAnsi="宋体" w:eastAsia="宋体" w:cs="宋体"/>
                <w:lang w:val="en-US" w:eastAsia="zh-CN"/>
              </w:rPr>
            </w:pPr>
            <w:r>
              <w:rPr>
                <w:rFonts w:hint="eastAsia" w:ascii="宋体" w:hAnsi="宋体" w:cs="宋体"/>
                <w:lang w:val="en-US" w:eastAsia="zh-CN"/>
              </w:rPr>
              <w:t>....</w:t>
            </w:r>
            <w:bookmarkStart w:id="30" w:name="_GoBack"/>
            <w:bookmarkEnd w:id="30"/>
          </w:p>
        </w:tc>
        <w:tc>
          <w:tcPr>
            <w:tcW w:w="6088" w:type="dxa"/>
            <w:vAlign w:val="center"/>
          </w:tcPr>
          <w:p>
            <w:pP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30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rPr>
                <w:rFonts w:hint="eastAsia" w:ascii="宋体" w:hAnsi="宋体" w:cs="宋体"/>
                <w:bCs/>
                <w:szCs w:val="21"/>
              </w:rPr>
            </w:pPr>
            <w:r>
              <w:rPr>
                <w:rFonts w:hint="eastAsia" w:ascii="宋体" w:hAnsi="宋体" w:cs="宋体"/>
                <w:bCs/>
                <w:szCs w:val="21"/>
              </w:rPr>
              <w:t>1.2当满足以下条件时，采购人才向中标人签发货物验收报告：</w:t>
            </w:r>
          </w:p>
          <w:p>
            <w:pPr>
              <w:rPr>
                <w:rFonts w:hint="eastAsia" w:ascii="宋体" w:hAnsi="宋体" w:cs="宋体"/>
                <w:bCs/>
                <w:szCs w:val="21"/>
              </w:rPr>
            </w:pPr>
            <w:r>
              <w:rPr>
                <w:rFonts w:hint="eastAsia" w:ascii="宋体" w:hAnsi="宋体" w:cs="宋体"/>
                <w:bCs/>
                <w:szCs w:val="21"/>
              </w:rPr>
              <w:t>a、中标人已按照合同规定提供了全部产品及完整的技术资料。</w:t>
            </w:r>
          </w:p>
          <w:p>
            <w:pPr>
              <w:rPr>
                <w:rFonts w:hint="eastAsia" w:ascii="宋体" w:hAnsi="宋体" w:cs="宋体"/>
                <w:bCs/>
                <w:szCs w:val="21"/>
              </w:rPr>
            </w:pPr>
            <w:r>
              <w:rPr>
                <w:rFonts w:hint="eastAsia" w:ascii="宋体" w:hAnsi="宋体" w:cs="宋体"/>
                <w:bCs/>
                <w:szCs w:val="21"/>
              </w:rPr>
              <w:t>b、货物符合招标文件技术规格书的要求，性能满足要求。</w:t>
            </w:r>
          </w:p>
          <w:p>
            <w:pPr>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jc w:val="center"/>
        <w:rPr>
          <w:rFonts w:hint="eastAsia" w:ascii="宋体" w:hAnsi="宋体" w:eastAsia="宋体" w:cs="宋体"/>
          <w:b/>
          <w:bCs/>
          <w:sz w:val="44"/>
          <w:szCs w:val="44"/>
        </w:rPr>
      </w:pPr>
      <w:bookmarkStart w:id="28" w:name="bt附件"/>
      <w:bookmarkEnd w:id="28"/>
      <w:bookmarkStart w:id="29" w:name="bt投标书"/>
      <w:bookmarkEnd w:id="29"/>
    </w:p>
    <w:p>
      <w:pPr>
        <w:rPr>
          <w:rFonts w:hint="eastAsia"/>
        </w:rPr>
      </w:pPr>
      <w:r>
        <w:rPr>
          <w:rFonts w:hint="eastAsia"/>
        </w:rPr>
        <w:br w:type="page"/>
      </w:r>
    </w:p>
    <w:p>
      <w:pPr>
        <w:rPr>
          <w:rFonts w:hint="eastAsia"/>
        </w:rPr>
      </w:pPr>
    </w:p>
    <w:p>
      <w:pPr>
        <w:pStyle w:val="2"/>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3"/>
          <w:rFonts w:ascii="宋体" w:hAnsi="宋体" w:eastAsia="宋体"/>
          <w:sz w:val="21"/>
          <w:szCs w:val="21"/>
        </w:rPr>
      </w:pPr>
      <w:r>
        <w:rPr>
          <w:rStyle w:val="53"/>
          <w:rFonts w:hint="eastAsia" w:ascii="宋体" w:hAnsi="宋体" w:eastAsia="宋体"/>
          <w:sz w:val="21"/>
          <w:szCs w:val="21"/>
        </w:rPr>
        <w:t>（温馨提示：投标人必须按本章规定的格式编制投标文件，否则作废标处理）</w:t>
      </w:r>
    </w:p>
    <w:p>
      <w:pPr>
        <w:rPr>
          <w:rStyle w:val="53"/>
          <w:sz w:val="28"/>
          <w:szCs w:val="28"/>
        </w:rPr>
      </w:pPr>
      <w:r>
        <w:rPr>
          <w:rStyle w:val="53"/>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pPr>
        <w:rPr>
          <w:szCs w:val="21"/>
        </w:rPr>
      </w:pPr>
      <w:r>
        <w:rPr>
          <w:rFonts w:hint="eastAsia" w:ascii="宋体" w:hAnsi="宋体"/>
          <w:szCs w:val="21"/>
          <w:lang w:val="en-US" w:eastAsia="zh-CN"/>
        </w:rPr>
        <w:t>7、</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宋体" w:hAnsi="宋体"/>
          <w:szCs w:val="21"/>
          <w:lang w:val="en-US" w:eastAsia="zh-CN"/>
        </w:rPr>
      </w:pPr>
      <w:r>
        <w:rPr>
          <w:rFonts w:hint="eastAsia" w:ascii="宋体" w:hAnsi="宋体"/>
          <w:szCs w:val="21"/>
          <w:lang w:val="en-US" w:eastAsia="zh-CN"/>
        </w:rPr>
        <w:t>（5）中小企业声明函（仅限中小企业）</w:t>
      </w:r>
    </w:p>
    <w:p>
      <w:pPr>
        <w:rPr>
          <w:rFonts w:hint="eastAsia" w:ascii="宋体" w:hAnsi="宋体"/>
          <w:szCs w:val="21"/>
          <w:lang w:val="en-US" w:eastAsia="zh-CN"/>
        </w:rPr>
      </w:pPr>
      <w:r>
        <w:rPr>
          <w:rFonts w:hint="eastAsia" w:ascii="宋体" w:hAnsi="宋体"/>
          <w:szCs w:val="21"/>
          <w:lang w:val="en-US" w:eastAsia="zh-CN"/>
        </w:rPr>
        <w:t>8、技术规格偏离表</w:t>
      </w:r>
    </w:p>
    <w:p>
      <w:pPr>
        <w:rPr>
          <w:rFonts w:hint="eastAsia" w:ascii="宋体" w:hAnsi="宋体"/>
          <w:szCs w:val="21"/>
          <w:lang w:val="en-US" w:eastAsia="zh-CN"/>
        </w:rPr>
      </w:pPr>
      <w:r>
        <w:rPr>
          <w:rFonts w:hint="eastAsia" w:ascii="宋体" w:hAnsi="宋体"/>
          <w:szCs w:val="21"/>
          <w:lang w:val="en-US" w:eastAsia="zh-CN"/>
        </w:rPr>
        <w:t>9、商务需求偏离表</w:t>
      </w:r>
    </w:p>
    <w:p>
      <w:pPr>
        <w:rPr>
          <w:rFonts w:hint="eastAsia" w:ascii="宋体" w:hAnsi="宋体"/>
          <w:szCs w:val="21"/>
          <w:lang w:val="en-US" w:eastAsia="zh-CN"/>
        </w:rPr>
      </w:pPr>
      <w:r>
        <w:rPr>
          <w:rFonts w:hint="eastAsia" w:ascii="宋体" w:hAnsi="宋体"/>
          <w:szCs w:val="21"/>
          <w:lang w:val="en-US" w:eastAsia="zh-CN"/>
        </w:rPr>
        <w:t>10、项目实施方案</w:t>
      </w:r>
    </w:p>
    <w:p>
      <w:pPr>
        <w:rPr>
          <w:rFonts w:hint="eastAsia" w:ascii="宋体" w:hAnsi="宋体"/>
          <w:szCs w:val="21"/>
          <w:lang w:val="en-US" w:eastAsia="zh-CN"/>
        </w:rPr>
      </w:pPr>
      <w:r>
        <w:rPr>
          <w:rFonts w:hint="eastAsia" w:ascii="宋体" w:hAnsi="宋体"/>
          <w:szCs w:val="21"/>
          <w:lang w:val="en-US" w:eastAsia="zh-CN"/>
        </w:rPr>
        <w:t>11、售后服务方案</w:t>
      </w:r>
    </w:p>
    <w:p>
      <w:pPr>
        <w:pStyle w:val="7"/>
        <w:ind w:left="0" w:leftChars="0" w:firstLine="0" w:firstLineChars="0"/>
        <w:rPr>
          <w:rFonts w:ascii="宋体" w:hAnsi="宋体"/>
          <w:szCs w:val="21"/>
        </w:rPr>
      </w:pPr>
    </w:p>
    <w:p>
      <w:pPr>
        <w:pStyle w:val="7"/>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3"/>
        <w:numPr>
          <w:ilvl w:val="0"/>
          <w:numId w:val="3"/>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pPr>
        <w:spacing w:line="360" w:lineRule="auto"/>
        <w:rPr>
          <w:rFonts w:hint="eastAsia" w:ascii="宋体" w:hAnsi="宋体" w:cs="宋体"/>
          <w:szCs w:val="21"/>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39"/>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spacing w:line="360" w:lineRule="auto"/>
        <w:ind w:firstLine="422" w:firstLineChars="200"/>
        <w:rPr>
          <w:rFonts w:hint="eastAsia"/>
          <w:b/>
        </w:rPr>
      </w:pP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7"/>
        <w:ind w:firstLine="420" w:firstLineChars="200"/>
        <w:rPr>
          <w:rFonts w:ascii="宋体" w:hAnsi="宋体" w:cs="宋体"/>
          <w:b w:val="0"/>
          <w:sz w:val="21"/>
          <w:szCs w:val="21"/>
        </w:rPr>
      </w:pPr>
    </w:p>
    <w:p>
      <w:pPr>
        <w:pStyle w:val="17"/>
        <w:rPr>
          <w:rFonts w:ascii="宋体"/>
          <w:b w:val="0"/>
          <w:sz w:val="21"/>
          <w:szCs w:val="21"/>
        </w:rPr>
      </w:pPr>
    </w:p>
    <w:p>
      <w:pPr>
        <w:rPr>
          <w:rFonts w:hint="eastAsia" w:ascii="宋体"/>
          <w:b w:val="0"/>
          <w:sz w:val="21"/>
          <w:szCs w:val="21"/>
        </w:rPr>
      </w:pPr>
      <w:r>
        <w:rPr>
          <w:rFonts w:hint="eastAsia" w:ascii="宋体"/>
          <w:b w:val="0"/>
          <w:sz w:val="21"/>
          <w:szCs w:val="21"/>
        </w:rPr>
        <w:br w:type="page"/>
      </w:r>
    </w:p>
    <w:p>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39"/>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rPr>
                <w:sz w:val="24"/>
              </w:rPr>
            </w:pPr>
            <w:r>
              <w:rPr>
                <w:rFonts w:hint="eastAsia"/>
                <w:sz w:val="24"/>
              </w:rPr>
              <w:t>序号</w:t>
            </w:r>
          </w:p>
        </w:tc>
        <w:tc>
          <w:tcPr>
            <w:tcW w:w="1300" w:type="dxa"/>
            <w:vAlign w:val="center"/>
          </w:tcPr>
          <w:p>
            <w:pPr>
              <w:jc w:val="center"/>
              <w:rPr>
                <w:sz w:val="24"/>
              </w:rPr>
            </w:pPr>
            <w:r>
              <w:rPr>
                <w:rFonts w:hint="eastAsia"/>
                <w:sz w:val="24"/>
              </w:rPr>
              <w:t>货物名称</w:t>
            </w:r>
          </w:p>
        </w:tc>
        <w:tc>
          <w:tcPr>
            <w:tcW w:w="1287" w:type="dxa"/>
            <w:vAlign w:val="center"/>
          </w:tcPr>
          <w:p>
            <w:pPr>
              <w:jc w:val="center"/>
              <w:rPr>
                <w:sz w:val="24"/>
              </w:rPr>
            </w:pPr>
            <w:r>
              <w:rPr>
                <w:rFonts w:hint="eastAsia"/>
                <w:szCs w:val="21"/>
              </w:rPr>
              <w:t>规格/型号</w:t>
            </w:r>
          </w:p>
        </w:tc>
        <w:tc>
          <w:tcPr>
            <w:tcW w:w="888" w:type="dxa"/>
            <w:vAlign w:val="center"/>
          </w:tcPr>
          <w:p>
            <w:pPr>
              <w:jc w:val="center"/>
              <w:rPr>
                <w:b/>
                <w:color w:val="FF0000"/>
                <w:szCs w:val="21"/>
              </w:rPr>
            </w:pPr>
            <w:r>
              <w:rPr>
                <w:rFonts w:hint="eastAsia"/>
                <w:b/>
                <w:color w:val="FF0000"/>
                <w:szCs w:val="21"/>
              </w:rPr>
              <w:t>原产地</w:t>
            </w:r>
          </w:p>
        </w:tc>
        <w:tc>
          <w:tcPr>
            <w:tcW w:w="1800" w:type="dxa"/>
            <w:vAlign w:val="center"/>
          </w:tcPr>
          <w:p>
            <w:pPr>
              <w:jc w:val="center"/>
              <w:rPr>
                <w:szCs w:val="21"/>
              </w:rPr>
            </w:pPr>
            <w:r>
              <w:rPr>
                <w:rFonts w:hint="eastAsia"/>
                <w:szCs w:val="21"/>
              </w:rPr>
              <w:t>制造商名称</w:t>
            </w:r>
          </w:p>
        </w:tc>
        <w:tc>
          <w:tcPr>
            <w:tcW w:w="712" w:type="dxa"/>
            <w:vAlign w:val="center"/>
          </w:tcPr>
          <w:p>
            <w:pPr>
              <w:jc w:val="center"/>
              <w:rPr>
                <w:sz w:val="24"/>
              </w:rPr>
            </w:pPr>
            <w:r>
              <w:rPr>
                <w:rFonts w:hint="eastAsia"/>
                <w:sz w:val="24"/>
              </w:rPr>
              <w:t>数量</w:t>
            </w:r>
          </w:p>
        </w:tc>
        <w:tc>
          <w:tcPr>
            <w:tcW w:w="741" w:type="dxa"/>
            <w:vAlign w:val="center"/>
          </w:tcPr>
          <w:p>
            <w:pPr>
              <w:jc w:val="center"/>
              <w:rPr>
                <w:sz w:val="24"/>
              </w:rPr>
            </w:pPr>
            <w:r>
              <w:rPr>
                <w:rFonts w:hint="eastAsia"/>
                <w:sz w:val="24"/>
              </w:rPr>
              <w:t>单位</w:t>
            </w:r>
          </w:p>
        </w:tc>
        <w:tc>
          <w:tcPr>
            <w:tcW w:w="984" w:type="dxa"/>
            <w:vAlign w:val="center"/>
          </w:tcPr>
          <w:p>
            <w:pPr>
              <w:jc w:val="center"/>
              <w:rPr>
                <w:szCs w:val="21"/>
              </w:rPr>
            </w:pPr>
            <w:r>
              <w:rPr>
                <w:rFonts w:hint="eastAsia"/>
                <w:szCs w:val="21"/>
              </w:rPr>
              <w:t>单价(元)</w:t>
            </w:r>
          </w:p>
        </w:tc>
        <w:tc>
          <w:tcPr>
            <w:tcW w:w="863" w:type="dxa"/>
            <w:vAlign w:val="center"/>
          </w:tcPr>
          <w:p>
            <w:pPr>
              <w:jc w:val="center"/>
              <w:rPr>
                <w:szCs w:val="21"/>
              </w:rPr>
            </w:pPr>
            <w:r>
              <w:rPr>
                <w:rFonts w:hint="eastAsia"/>
                <w:szCs w:val="21"/>
              </w:rPr>
              <w:t>合价(元)</w:t>
            </w:r>
          </w:p>
        </w:tc>
        <w:tc>
          <w:tcPr>
            <w:tcW w:w="975"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pPr>
              <w:rPr>
                <w:sz w:val="24"/>
              </w:rPr>
            </w:pPr>
            <w:r>
              <w:rPr>
                <w:rFonts w:hint="eastAsia"/>
                <w:sz w:val="24"/>
              </w:rPr>
              <w:t>合计（即：投标总价；币种：人民币；单位：元）：大写：</w:t>
            </w:r>
          </w:p>
        </w:tc>
      </w:tr>
    </w:tbl>
    <w:p>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FF0000"/>
          <w:sz w:val="24"/>
        </w:rPr>
      </w:pPr>
    </w:p>
    <w:p>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eastAsia" w:ascii="宋体" w:hAnsi="宋体" w:cs="宋体"/>
          <w:bCs/>
          <w:sz w:val="28"/>
          <w:szCs w:val="28"/>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0"/>
        </w:numPr>
        <w:ind w:leftChars="0"/>
        <w:outlineLvl w:val="3"/>
        <w:rPr>
          <w:rFonts w:hint="default"/>
          <w:b/>
          <w:bCs/>
          <w:sz w:val="24"/>
          <w:lang w:val="en-US" w:eastAsia="zh-CN"/>
        </w:rPr>
      </w:pPr>
      <w:r>
        <w:rPr>
          <w:rFonts w:hint="eastAsia"/>
          <w:b/>
          <w:bCs/>
          <w:sz w:val="24"/>
          <w:lang w:val="en-US" w:eastAsia="zh-CN"/>
        </w:rPr>
        <w:t>（三）企业荣誉</w:t>
      </w: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b/>
          <w:bCs/>
          <w:sz w:val="24"/>
        </w:rPr>
      </w:pPr>
      <w:r>
        <w:rPr>
          <w:rFonts w:hint="eastAsia"/>
          <w:b/>
          <w:bCs/>
          <w:sz w:val="24"/>
          <w:lang w:val="en-US" w:eastAsia="zh-CN"/>
        </w:rPr>
        <w:t>（四）同类项目业绩</w:t>
      </w:r>
    </w:p>
    <w:p>
      <w:pPr>
        <w:rPr>
          <w:rFonts w:hint="eastAsia"/>
          <w:b/>
          <w:bCs/>
          <w:sz w:val="24"/>
        </w:rPr>
      </w:pPr>
    </w:p>
    <w:p>
      <w:pPr>
        <w:rPr>
          <w:rFonts w:hint="eastAsia"/>
          <w:b/>
          <w:bCs/>
          <w:sz w:val="24"/>
        </w:rPr>
      </w:pPr>
    </w:p>
    <w:p>
      <w:pPr>
        <w:rPr>
          <w:rFonts w:hint="eastAsia"/>
          <w:b/>
          <w:bCs/>
          <w:sz w:val="24"/>
        </w:rPr>
      </w:pPr>
    </w:p>
    <w:tbl>
      <w:tblPr>
        <w:tblStyle w:val="39"/>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
          <w:bCs/>
          <w:sz w:val="24"/>
        </w:rPr>
      </w:pPr>
    </w:p>
    <w:p>
      <w:pPr>
        <w:bidi w:val="0"/>
        <w:rPr>
          <w:rFonts w:hint="eastAsia"/>
          <w:b/>
          <w:bCs/>
          <w:sz w:val="24"/>
        </w:rPr>
      </w:pPr>
    </w:p>
    <w:p>
      <w:pPr>
        <w:bidi w:val="0"/>
        <w:jc w:val="left"/>
        <w:rPr>
          <w:rFonts w:hint="eastAsia"/>
          <w:b/>
          <w:bCs/>
          <w:sz w:val="24"/>
        </w:rPr>
      </w:pPr>
    </w:p>
    <w:p>
      <w:pPr>
        <w:bidi w:val="0"/>
        <w:jc w:val="left"/>
        <w:rPr>
          <w:rFonts w:hint="eastAsia"/>
          <w:b/>
          <w:bCs/>
          <w:sz w:val="24"/>
        </w:rPr>
      </w:pPr>
    </w:p>
    <w:p>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pPr>
        <w:rPr>
          <w:rFonts w:hint="eastAsia"/>
          <w:b/>
          <w:bCs/>
          <w:sz w:val="24"/>
        </w:rPr>
      </w:pPr>
      <w:r>
        <w:rPr>
          <w:rFonts w:hint="eastAsia"/>
          <w:b/>
          <w:bCs/>
          <w:sz w:val="24"/>
        </w:rPr>
        <w:br w:type="page"/>
      </w: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39"/>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招标技术要求</w:t>
            </w:r>
          </w:p>
        </w:tc>
        <w:tc>
          <w:tcPr>
            <w:tcW w:w="1356" w:type="dxa"/>
          </w:tcPr>
          <w:p>
            <w:pPr>
              <w:rPr>
                <w:sz w:val="24"/>
              </w:rPr>
            </w:pPr>
            <w:r>
              <w:rPr>
                <w:rFonts w:hint="eastAsia"/>
                <w:sz w:val="24"/>
              </w:rPr>
              <w:t>投标技术响应</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 w:val="24"/>
        </w:rPr>
      </w:pPr>
      <w:r>
        <w:rPr>
          <w:rFonts w:hint="eastAsia"/>
          <w:sz w:val="24"/>
        </w:rPr>
        <w:t>备注：</w:t>
      </w:r>
    </w:p>
    <w:p>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pPr>
        <w:rPr>
          <w:color w:val="FF0000"/>
          <w:sz w:val="24"/>
        </w:rPr>
      </w:pPr>
      <w:r>
        <w:rPr>
          <w:rFonts w:hint="eastAsia"/>
          <w:color w:val="FF0000"/>
          <w:sz w:val="24"/>
        </w:rPr>
        <w:t>2、“投标技术响应”一栏必须详细填写投标产品的具体参数，并应对照招标技术要求一一对应响应；</w:t>
      </w:r>
    </w:p>
    <w:p>
      <w:pPr>
        <w:rPr>
          <w:color w:val="FF0000"/>
          <w:sz w:val="24"/>
        </w:rPr>
      </w:pPr>
      <w:r>
        <w:rPr>
          <w:rFonts w:hint="eastAsia"/>
          <w:color w:val="FF0000"/>
          <w:sz w:val="24"/>
        </w:rPr>
        <w:t>3、“偏离情况”一栏应如实填写“正偏离”、“负偏离”或“无偏离”。</w:t>
      </w:r>
    </w:p>
    <w:p>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rPr>
          <w:sz w:val="24"/>
        </w:rPr>
      </w:pPr>
      <w:r>
        <w:rPr>
          <w:rFonts w:hint="eastAsia"/>
          <w:sz w:val="24"/>
        </w:rPr>
        <w:t>5、证明资料（均为扫描件）的提供要求：</w:t>
      </w:r>
    </w:p>
    <w:p>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pPr>
        <w:rPr>
          <w:sz w:val="24"/>
        </w:rPr>
      </w:pPr>
      <w:r>
        <w:rPr>
          <w:sz w:val="24"/>
        </w:rPr>
        <w:br w:type="page"/>
      </w:r>
    </w:p>
    <w:p>
      <w:pPr>
        <w:rPr>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39"/>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rPr>
                <w:sz w:val="24"/>
              </w:rPr>
            </w:pPr>
            <w:r>
              <w:rPr>
                <w:rFonts w:hint="eastAsia"/>
                <w:sz w:val="24"/>
              </w:rPr>
              <w:t>序号</w:t>
            </w:r>
          </w:p>
        </w:tc>
        <w:tc>
          <w:tcPr>
            <w:tcW w:w="1080" w:type="dxa"/>
          </w:tcPr>
          <w:p>
            <w:pPr>
              <w:rPr>
                <w:sz w:val="24"/>
              </w:rPr>
            </w:pPr>
            <w:r>
              <w:rPr>
                <w:rFonts w:hint="eastAsia"/>
                <w:sz w:val="24"/>
              </w:rPr>
              <w:t>目录</w:t>
            </w:r>
          </w:p>
        </w:tc>
        <w:tc>
          <w:tcPr>
            <w:tcW w:w="1980" w:type="dxa"/>
          </w:tcPr>
          <w:p>
            <w:pPr>
              <w:rPr>
                <w:sz w:val="24"/>
              </w:rPr>
            </w:pPr>
            <w:r>
              <w:rPr>
                <w:rFonts w:hint="eastAsia"/>
                <w:sz w:val="24"/>
              </w:rPr>
              <w:t>招标商务条款</w:t>
            </w:r>
          </w:p>
        </w:tc>
        <w:tc>
          <w:tcPr>
            <w:tcW w:w="1980" w:type="dxa"/>
          </w:tcPr>
          <w:p>
            <w:pPr>
              <w:rPr>
                <w:sz w:val="24"/>
              </w:rPr>
            </w:pPr>
            <w:r>
              <w:rPr>
                <w:rFonts w:hint="eastAsia"/>
                <w:sz w:val="24"/>
              </w:rPr>
              <w:t>投标商务条款</w:t>
            </w:r>
          </w:p>
        </w:tc>
        <w:tc>
          <w:tcPr>
            <w:tcW w:w="1440" w:type="dxa"/>
          </w:tcPr>
          <w:p>
            <w:pPr>
              <w:rPr>
                <w:sz w:val="24"/>
              </w:rPr>
            </w:pPr>
            <w:r>
              <w:rPr>
                <w:rFonts w:hint="eastAsia"/>
              </w:rPr>
              <w:t>偏离情况</w:t>
            </w:r>
          </w:p>
        </w:tc>
        <w:tc>
          <w:tcPr>
            <w:tcW w:w="162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bl>
    <w:p>
      <w:pPr>
        <w:rPr>
          <w:sz w:val="24"/>
        </w:rPr>
      </w:pPr>
      <w:r>
        <w:rPr>
          <w:rFonts w:hint="eastAsia"/>
          <w:sz w:val="24"/>
        </w:rPr>
        <w:t>备注：</w:t>
      </w:r>
    </w:p>
    <w:p>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pPr>
        <w:rPr>
          <w:b/>
          <w:color w:val="FF0000"/>
          <w:sz w:val="24"/>
        </w:rPr>
      </w:pPr>
      <w:r>
        <w:rPr>
          <w:rFonts w:hint="eastAsia"/>
          <w:b/>
          <w:color w:val="FF0000"/>
          <w:sz w:val="24"/>
        </w:rPr>
        <w:t>2. “投标商务条款”一栏必须详细填写投标商务条款的内容。</w:t>
      </w:r>
    </w:p>
    <w:p>
      <w:pPr>
        <w:rPr>
          <w:sz w:val="24"/>
        </w:rPr>
      </w:pPr>
      <w:r>
        <w:rPr>
          <w:rFonts w:hint="eastAsia"/>
          <w:b/>
          <w:color w:val="FF0000"/>
          <w:sz w:val="24"/>
        </w:rPr>
        <w:t>3. “偏离情况”栏中应如实填写“正偏离”、“负偏离”或“无偏离”。</w:t>
      </w:r>
    </w:p>
    <w:p>
      <w:pPr>
        <w:rPr>
          <w:b/>
          <w:color w:val="FF0000"/>
          <w:sz w:val="24"/>
        </w:rPr>
      </w:pPr>
      <w:r>
        <w:rPr>
          <w:rFonts w:hint="eastAsia"/>
          <w:b/>
          <w:color w:val="FF0000"/>
          <w:sz w:val="24"/>
        </w:rPr>
        <w:t>3. 交货期条款为不可负偏离条款，投标文件响应为“负偏离”的，投标文件将按无效投标处理。</w:t>
      </w:r>
    </w:p>
    <w:p>
      <w:pPr>
        <w:rPr>
          <w:sz w:val="24"/>
        </w:rPr>
      </w:pPr>
    </w:p>
    <w:p>
      <w:pPr>
        <w:bidi w:val="0"/>
        <w:jc w:val="left"/>
        <w:rPr>
          <w:rFonts w:hint="eastAsia" w:ascii="Times New Roman" w:hAnsi="Times New Roman" w:eastAsia="宋体" w:cs="Times New Roman"/>
          <w:kern w:val="2"/>
          <w:sz w:val="21"/>
          <w:szCs w:val="24"/>
          <w:lang w:val="en-US" w:eastAsia="zh-CN" w:bidi="ar-SA"/>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r>
        <w:rPr>
          <w:rFonts w:ascii="宋体" w:hAnsi="宋体" w:cs="宋体"/>
          <w:b/>
          <w:bCs/>
          <w:sz w:val="24"/>
        </w:rPr>
        <w:br w:type="page"/>
      </w:r>
    </w:p>
    <w:p>
      <w:pPr>
        <w:rPr>
          <w:rFonts w:ascii="宋体" w:hAnsi="宋体" w:cs="宋体"/>
          <w:b/>
          <w:bCs/>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hint="eastAsia"/>
          <w:b/>
          <w:bCs/>
          <w:sz w:val="32"/>
          <w:szCs w:val="32"/>
        </w:rPr>
      </w:pPr>
      <w:r>
        <w:rPr>
          <w:rFonts w:hint="eastAsia"/>
          <w:b/>
          <w:bCs/>
          <w:sz w:val="32"/>
          <w:szCs w:val="32"/>
        </w:rPr>
        <w:br w:type="page"/>
      </w:r>
    </w:p>
    <w:p>
      <w:pPr>
        <w:keepNext/>
        <w:keepLines/>
        <w:spacing w:before="120" w:after="120" w:line="416" w:lineRule="auto"/>
        <w:jc w:val="both"/>
        <w:outlineLvl w:val="2"/>
        <w:rPr>
          <w:rFonts w:hint="eastAsia"/>
          <w:b/>
          <w:bCs/>
          <w:sz w:val="32"/>
          <w:szCs w:val="32"/>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both"/>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both"/>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szCs w:val="21"/>
        </w:rPr>
      </w:pPr>
      <w:r>
        <w:rPr>
          <w:rFonts w:hint="eastAsia" w:ascii="宋体" w:hAnsi="宋体" w:cs="宋体"/>
          <w:b/>
          <w:szCs w:val="21"/>
        </w:rPr>
        <w:t>第七条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11416217"/>
    <w:rsid w:val="12400FA3"/>
    <w:rsid w:val="12DD1B28"/>
    <w:rsid w:val="12FE3950"/>
    <w:rsid w:val="13C32892"/>
    <w:rsid w:val="15B13C57"/>
    <w:rsid w:val="16B304F0"/>
    <w:rsid w:val="172355C7"/>
    <w:rsid w:val="187F2692"/>
    <w:rsid w:val="1BA51044"/>
    <w:rsid w:val="1BE978E3"/>
    <w:rsid w:val="1F146B59"/>
    <w:rsid w:val="1F451914"/>
    <w:rsid w:val="20872C9F"/>
    <w:rsid w:val="216D7189"/>
    <w:rsid w:val="239F050C"/>
    <w:rsid w:val="25737527"/>
    <w:rsid w:val="257E17F7"/>
    <w:rsid w:val="275663DD"/>
    <w:rsid w:val="278E5053"/>
    <w:rsid w:val="292D69B8"/>
    <w:rsid w:val="2BF92562"/>
    <w:rsid w:val="2DE024B6"/>
    <w:rsid w:val="2ED0393D"/>
    <w:rsid w:val="312C457E"/>
    <w:rsid w:val="32911927"/>
    <w:rsid w:val="33562ADE"/>
    <w:rsid w:val="33F52CFD"/>
    <w:rsid w:val="34B23808"/>
    <w:rsid w:val="384055D4"/>
    <w:rsid w:val="3C2A5EFE"/>
    <w:rsid w:val="3E282DF5"/>
    <w:rsid w:val="3F4113F9"/>
    <w:rsid w:val="403B24CE"/>
    <w:rsid w:val="40A404FA"/>
    <w:rsid w:val="425060F2"/>
    <w:rsid w:val="446D7398"/>
    <w:rsid w:val="45847BA5"/>
    <w:rsid w:val="460F442A"/>
    <w:rsid w:val="46410D56"/>
    <w:rsid w:val="469E203D"/>
    <w:rsid w:val="49E80350"/>
    <w:rsid w:val="4BB43D8C"/>
    <w:rsid w:val="4C077C53"/>
    <w:rsid w:val="4DBA22C3"/>
    <w:rsid w:val="52423785"/>
    <w:rsid w:val="56077DC5"/>
    <w:rsid w:val="577D22EB"/>
    <w:rsid w:val="584840FA"/>
    <w:rsid w:val="59CA0571"/>
    <w:rsid w:val="5B04545E"/>
    <w:rsid w:val="5D7563F9"/>
    <w:rsid w:val="603D641A"/>
    <w:rsid w:val="606825F4"/>
    <w:rsid w:val="60A07074"/>
    <w:rsid w:val="617A743E"/>
    <w:rsid w:val="62D3439E"/>
    <w:rsid w:val="63C00196"/>
    <w:rsid w:val="66F45EB8"/>
    <w:rsid w:val="69104B48"/>
    <w:rsid w:val="697406AA"/>
    <w:rsid w:val="69782474"/>
    <w:rsid w:val="6B126E3A"/>
    <w:rsid w:val="6B97436A"/>
    <w:rsid w:val="6C11369E"/>
    <w:rsid w:val="6DC17C96"/>
    <w:rsid w:val="6F194F50"/>
    <w:rsid w:val="71FEDFB2"/>
    <w:rsid w:val="73210D6E"/>
    <w:rsid w:val="73B91B46"/>
    <w:rsid w:val="766746CB"/>
    <w:rsid w:val="76EC41F7"/>
    <w:rsid w:val="77664E62"/>
    <w:rsid w:val="78A10217"/>
    <w:rsid w:val="795A6BAA"/>
    <w:rsid w:val="79C07B41"/>
    <w:rsid w:val="7E9E5C72"/>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8"/>
    <w:qFormat/>
    <w:uiPriority w:val="0"/>
    <w:pPr>
      <w:spacing w:before="340" w:after="330" w:line="360" w:lineRule="auto"/>
      <w:jc w:val="center"/>
      <w:outlineLvl w:val="0"/>
    </w:pPr>
    <w:rPr>
      <w:kern w:val="44"/>
      <w:sz w:val="32"/>
      <w:szCs w:val="36"/>
    </w:rPr>
  </w:style>
  <w:style w:type="paragraph" w:styleId="5">
    <w:name w:val="heading 2"/>
    <w:basedOn w:val="3"/>
    <w:next w:val="4"/>
    <w:link w:val="49"/>
    <w:qFormat/>
    <w:uiPriority w:val="0"/>
    <w:pPr>
      <w:adjustRightInd w:val="0"/>
      <w:jc w:val="center"/>
      <w:textAlignment w:val="baseline"/>
      <w:outlineLvl w:val="1"/>
    </w:pPr>
    <w:rPr>
      <w:bCs w:val="0"/>
      <w:kern w:val="0"/>
      <w:szCs w:val="20"/>
    </w:rPr>
  </w:style>
  <w:style w:type="paragraph" w:styleId="3">
    <w:name w:val="heading 3"/>
    <w:basedOn w:val="4"/>
    <w:next w:val="1"/>
    <w:link w:val="47"/>
    <w:qFormat/>
    <w:uiPriority w:val="0"/>
    <w:pPr>
      <w:spacing w:before="260" w:after="260" w:line="240" w:lineRule="auto"/>
      <w:outlineLvl w:val="2"/>
    </w:pPr>
    <w:rPr>
      <w:rFonts w:ascii="宋体" w:hAnsi="宋体" w:eastAsia="宋体"/>
      <w:szCs w:val="32"/>
    </w:rPr>
  </w:style>
  <w:style w:type="paragraph" w:styleId="4">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basedOn w:val="41"/>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4"/>
    <w:qFormat/>
    <w:uiPriority w:val="0"/>
    <w:rPr>
      <w:rFonts w:ascii="Arial" w:hAnsi="Arial" w:eastAsia="黑体"/>
      <w:b/>
      <w:bCs/>
      <w:kern w:val="2"/>
      <w:sz w:val="28"/>
      <w:szCs w:val="28"/>
      <w:lang w:val="en-US" w:eastAsia="zh-CN" w:bidi="ar-SA"/>
    </w:rPr>
  </w:style>
  <w:style w:type="character" w:customStyle="1" w:styleId="47">
    <w:name w:val="标题 3 字符"/>
    <w:link w:val="3"/>
    <w:qFormat/>
    <w:uiPriority w:val="0"/>
    <w:rPr>
      <w:rFonts w:ascii="宋体" w:hAnsi="宋体" w:eastAsia="宋体"/>
      <w:b/>
      <w:bCs/>
      <w:kern w:val="2"/>
      <w:sz w:val="28"/>
      <w:szCs w:val="32"/>
      <w:lang w:val="en-US" w:eastAsia="zh-CN" w:bidi="ar-SA"/>
    </w:rPr>
  </w:style>
  <w:style w:type="character" w:customStyle="1" w:styleId="48">
    <w:name w:val="标题 1 字符"/>
    <w:link w:val="2"/>
    <w:qFormat/>
    <w:uiPriority w:val="0"/>
    <w:rPr>
      <w:rFonts w:ascii="宋体" w:hAnsi="宋体" w:eastAsia="宋体"/>
      <w:b/>
      <w:bCs/>
      <w:kern w:val="44"/>
      <w:sz w:val="32"/>
      <w:szCs w:val="36"/>
      <w:lang w:val="en-US" w:eastAsia="zh-CN" w:bidi="ar-SA"/>
    </w:rPr>
  </w:style>
  <w:style w:type="character" w:customStyle="1" w:styleId="49">
    <w:name w:val="标题 2 字符"/>
    <w:link w:val="5"/>
    <w:qFormat/>
    <w:uiPriority w:val="0"/>
    <w:rPr>
      <w:rFonts w:ascii="宋体" w:hAnsi="宋体" w:eastAsia="宋体"/>
      <w:b/>
      <w:sz w:val="28"/>
      <w:lang w:val="en-US" w:eastAsia="zh-CN" w:bidi="ar-SA"/>
    </w:rPr>
  </w:style>
  <w:style w:type="character" w:customStyle="1" w:styleId="50">
    <w:name w:val="正文缩进 字符"/>
    <w:link w:val="7"/>
    <w:qFormat/>
    <w:uiPriority w:val="0"/>
    <w:rPr>
      <w:rFonts w:eastAsia="宋体"/>
      <w:kern w:val="2"/>
      <w:sz w:val="21"/>
      <w:lang w:val="en-US" w:eastAsia="zh-CN" w:bidi="ar-SA"/>
    </w:rPr>
  </w:style>
  <w:style w:type="character" w:customStyle="1" w:styleId="51">
    <w:name w:val="批注文字 字符"/>
    <w:link w:val="15"/>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 w:type="character" w:customStyle="1" w:styleId="77">
    <w:name w:val="font01"/>
    <w:basedOn w:val="41"/>
    <w:qFormat/>
    <w:uiPriority w:val="0"/>
    <w:rPr>
      <w:rFonts w:hint="eastAsia" w:ascii="宋体" w:hAnsi="宋体" w:eastAsia="宋体" w:cs="宋体"/>
      <w:color w:val="000000"/>
      <w:sz w:val="20"/>
      <w:szCs w:val="20"/>
      <w:u w:val="none"/>
    </w:rPr>
  </w:style>
  <w:style w:type="paragraph" w:styleId="78">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25</Pages>
  <Words>9857</Words>
  <Characters>10419</Characters>
  <Lines>110</Lines>
  <Paragraphs>31</Paragraphs>
  <TotalTime>11</TotalTime>
  <ScaleCrop>false</ScaleCrop>
  <LinksUpToDate>false</LinksUpToDate>
  <CharactersWithSpaces>11843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2023-05-05T08:20:57Z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29ABDD915D204DB4AE5BB77B70C5E4B1_13</vt:lpwstr>
  </property>
</Properties>
</file>