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小学部电动防撞桩</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3015</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五</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十一</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4"/>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3015</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深圳实验学校小学部电动防撞桩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7"/>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7"/>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7"/>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hint="default" w:ascii="宋体" w:hAnsi="宋体" w:eastAsia="仿宋_GB2312"/>
                <w:szCs w:val="21"/>
                <w:lang w:val="en-US" w:eastAsia="zh-CN"/>
              </w:rPr>
            </w:pPr>
            <w:r>
              <w:rPr>
                <w:rFonts w:hint="eastAsia" w:ascii="宋体" w:hAnsi="宋体" w:eastAsia="仿宋_GB2312" w:cs="宋体"/>
                <w:lang w:val="en-US" w:eastAsia="zh-CN"/>
              </w:rPr>
              <w:t>35</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35</w:t>
            </w:r>
            <w:r>
              <w:rPr>
                <w:rFonts w:hint="eastAsia" w:cs="宋体"/>
              </w:rPr>
              <w:t>分，带“</w:t>
            </w:r>
            <w:r>
              <w:rPr>
                <w:rFonts w:hint="eastAsia"/>
              </w:rPr>
              <w:t>▲</w:t>
            </w:r>
            <w:r>
              <w:rPr>
                <w:rFonts w:hint="eastAsia" w:cs="宋体"/>
              </w:rPr>
              <w:t>”指标，每负偏离一项扣</w:t>
            </w:r>
            <w:r>
              <w:rPr>
                <w:rFonts w:hint="eastAsia"/>
                <w:color w:val="FF0000"/>
                <w:lang w:val="en-US" w:eastAsia="zh-CN"/>
              </w:rPr>
              <w:t>3</w:t>
            </w:r>
            <w:r>
              <w:rPr>
                <w:rFonts w:hint="eastAsia" w:cs="宋体"/>
              </w:rPr>
              <w:t>分，其余指标每负偏离一项扣</w:t>
            </w:r>
            <w:r>
              <w:rPr>
                <w:rFonts w:hint="eastAsia"/>
                <w:color w:val="FF0000"/>
                <w:lang w:val="en-US" w:eastAsia="zh-CN"/>
              </w:rPr>
              <w:t>1</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hint="eastAsia" w:ascii="宋体" w:hAnsi="宋体" w:eastAsia="仿宋_GB2312"/>
                <w:sz w:val="24"/>
                <w:szCs w:val="21"/>
                <w:lang w:val="en-US" w:eastAsia="zh-CN"/>
              </w:rPr>
            </w:pPr>
            <w:r>
              <w:rPr>
                <w:rFonts w:hint="eastAsia" w:ascii="宋体" w:hAnsi="宋体" w:eastAsia="仿宋_GB2312"/>
                <w:sz w:val="24"/>
                <w:szCs w:val="21"/>
                <w:lang w:val="en-US" w:eastAsia="zh-CN"/>
              </w:rPr>
              <w:t>3</w:t>
            </w:r>
          </w:p>
        </w:tc>
        <w:tc>
          <w:tcPr>
            <w:tcW w:w="1559" w:type="dxa"/>
            <w:vAlign w:val="center"/>
          </w:tcPr>
          <w:p>
            <w:pPr>
              <w:spacing w:line="240" w:lineRule="exact"/>
              <w:jc w:val="center"/>
              <w:rPr>
                <w:rFonts w:hint="eastAsia" w:ascii="宋体" w:hAnsi="宋体" w:eastAsia="宋体" w:cs="宋体"/>
                <w:kern w:val="0"/>
                <w:lang w:val="en-US" w:eastAsia="zh-CN"/>
              </w:rPr>
            </w:pPr>
            <w:r>
              <w:rPr>
                <w:rFonts w:hint="eastAsia" w:ascii="宋体" w:hAnsi="宋体" w:cs="宋体"/>
                <w:kern w:val="0"/>
                <w:lang w:val="en-US" w:eastAsia="zh-CN"/>
              </w:rPr>
              <w:t>投标产品先进性</w:t>
            </w:r>
          </w:p>
        </w:tc>
        <w:tc>
          <w:tcPr>
            <w:tcW w:w="709" w:type="dxa"/>
            <w:vAlign w:val="center"/>
          </w:tcPr>
          <w:p>
            <w:pPr>
              <w:spacing w:after="160" w:line="240" w:lineRule="exact"/>
              <w:jc w:val="center"/>
              <w:rPr>
                <w:rFonts w:hint="default" w:ascii="宋体" w:hAnsi="宋体" w:eastAsia="仿宋_GB2312" w:cs="宋体"/>
                <w:lang w:val="en-US" w:eastAsia="zh-CN"/>
              </w:rPr>
            </w:pPr>
            <w:r>
              <w:rPr>
                <w:rFonts w:hint="eastAsia" w:ascii="宋体" w:hAnsi="宋体" w:eastAsia="仿宋_GB2312" w:cs="宋体"/>
                <w:lang w:val="en-US" w:eastAsia="zh-CN"/>
              </w:rPr>
              <w:t>10</w:t>
            </w:r>
          </w:p>
        </w:tc>
        <w:tc>
          <w:tcPr>
            <w:tcW w:w="1162" w:type="dxa"/>
            <w:vAlign w:val="center"/>
          </w:tcPr>
          <w:p>
            <w:pPr>
              <w:spacing w:after="160" w:line="240" w:lineRule="exact"/>
              <w:jc w:val="center"/>
              <w:rPr>
                <w:rFonts w:hint="eastAsia" w:ascii="宋体" w:hAnsi="宋体"/>
                <w:szCs w:val="21"/>
              </w:rPr>
            </w:pPr>
            <w:r>
              <w:rPr>
                <w:rFonts w:hint="eastAsia" w:ascii="宋体" w:hAnsi="宋体"/>
                <w:szCs w:val="21"/>
              </w:rPr>
              <w:t>专家打分</w:t>
            </w:r>
          </w:p>
        </w:tc>
        <w:tc>
          <w:tcPr>
            <w:tcW w:w="3295" w:type="dxa"/>
            <w:vAlign w:val="center"/>
          </w:tcPr>
          <w:p>
            <w:pPr>
              <w:widowControl/>
              <w:jc w:val="left"/>
              <w:rPr>
                <w:rFonts w:hint="eastAsia" w:cs="宋体"/>
              </w:rPr>
            </w:pPr>
            <w:r>
              <w:rPr>
                <w:rFonts w:hint="eastAsia" w:ascii="宋体" w:hAnsi="宋体"/>
                <w:szCs w:val="21"/>
              </w:rPr>
              <w:t>考察内容：投标人</w:t>
            </w:r>
            <w:r>
              <w:rPr>
                <w:rFonts w:hint="eastAsia" w:ascii="宋体" w:hAnsi="宋体"/>
                <w:szCs w:val="21"/>
                <w:lang w:val="en-US" w:eastAsia="zh-CN"/>
              </w:rPr>
              <w:t>所投产品获得专利、</w:t>
            </w:r>
            <w:r>
              <w:rPr>
                <w:rFonts w:hint="eastAsia" w:ascii="宋体" w:hAnsi="宋体"/>
                <w:szCs w:val="21"/>
              </w:rPr>
              <w:t>市级以上政府荣誉证书、业内权威认证证书扫描件（加盖投标人公章）。每提供1个得</w:t>
            </w:r>
            <w:r>
              <w:rPr>
                <w:rFonts w:hint="eastAsia" w:ascii="宋体" w:hAnsi="宋体"/>
                <w:szCs w:val="21"/>
                <w:lang w:val="en-US" w:eastAsia="zh-CN"/>
              </w:rPr>
              <w:t>2</w:t>
            </w:r>
            <w:r>
              <w:rPr>
                <w:rFonts w:hint="eastAsia" w:ascii="宋体" w:hAnsi="宋体"/>
                <w:szCs w:val="21"/>
              </w:rPr>
              <w:t>分，最多</w:t>
            </w:r>
            <w:r>
              <w:rPr>
                <w:rFonts w:hint="eastAsia" w:ascii="宋体" w:hAnsi="宋体"/>
                <w:szCs w:val="21"/>
                <w:lang w:val="en-US" w:eastAsia="zh-CN"/>
              </w:rPr>
              <w:t>10</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hint="eastAsia" w:ascii="宋体" w:hAnsi="宋体" w:eastAsia="宋体"/>
                <w:szCs w:val="21"/>
                <w:lang w:eastAsia="zh-CN"/>
              </w:rPr>
            </w:pPr>
            <w:r>
              <w:rPr>
                <w:rFonts w:hint="eastAsia" w:ascii="宋体" w:hAnsi="宋体"/>
                <w:szCs w:val="21"/>
                <w:lang w:val="en-US" w:eastAsia="zh-CN"/>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rPr>
                <w:rFonts w:hint="eastAsia"/>
                <w:lang w:val="en-US" w:eastAsia="zh-CN"/>
              </w:rPr>
              <w:t>3</w:t>
            </w:r>
            <w:r>
              <w:rPr>
                <w:rFonts w:hint="eastAsia" w:cs="宋体"/>
              </w:rPr>
              <w:t>，每负偏离一项扣</w:t>
            </w:r>
            <w:r>
              <w:rPr>
                <w:rFonts w:hint="eastAsia"/>
                <w:color w:val="FF0000"/>
                <w:lang w:val="en-US" w:eastAsia="zh-CN"/>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4</w:t>
            </w:r>
          </w:p>
        </w:tc>
        <w:tc>
          <w:tcPr>
            <w:tcW w:w="1559" w:type="dxa"/>
            <w:vAlign w:val="center"/>
          </w:tcPr>
          <w:p>
            <w:pPr>
              <w:spacing w:line="240" w:lineRule="exact"/>
              <w:jc w:val="center"/>
              <w:rPr>
                <w:rFonts w:hint="default" w:ascii="宋体" w:hAnsi="宋体" w:eastAsia="宋体"/>
                <w:szCs w:val="21"/>
                <w:lang w:val="en-US" w:eastAsia="zh-CN"/>
              </w:rPr>
            </w:pPr>
            <w:r>
              <w:rPr>
                <w:rFonts w:hint="eastAsia" w:ascii="宋体" w:hAnsi="宋体"/>
                <w:szCs w:val="21"/>
                <w:lang w:val="en-US" w:eastAsia="zh-CN"/>
              </w:rPr>
              <w:t>诚信情况</w:t>
            </w:r>
          </w:p>
        </w:tc>
        <w:tc>
          <w:tcPr>
            <w:tcW w:w="709" w:type="dxa"/>
            <w:vAlign w:val="center"/>
          </w:tcPr>
          <w:p>
            <w:pPr>
              <w:spacing w:line="24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1162" w:type="dxa"/>
            <w:vAlign w:val="center"/>
          </w:tcPr>
          <w:p>
            <w:pPr>
              <w:spacing w:line="240" w:lineRule="exact"/>
              <w:jc w:val="center"/>
              <w:rPr>
                <w:rFonts w:hint="eastAsia" w:ascii="宋体" w:hAnsi="宋体"/>
                <w:szCs w:val="21"/>
              </w:rPr>
            </w:pPr>
            <w:r>
              <w:rPr>
                <w:rFonts w:hint="eastAsia" w:ascii="宋体" w:hAnsi="宋体"/>
                <w:szCs w:val="21"/>
              </w:rPr>
              <w:t>专家评分</w:t>
            </w:r>
          </w:p>
        </w:tc>
        <w:tc>
          <w:tcPr>
            <w:tcW w:w="3295" w:type="dxa"/>
            <w:vAlign w:val="center"/>
          </w:tcPr>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查询网页如下：</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"https://amr.sz.gov.cn/xyjggs.webui/xyjggs/index.aspx" </w:instrText>
            </w:r>
            <w:r>
              <w:rPr>
                <w:rFonts w:hint="default"/>
                <w:lang w:val="en-US" w:eastAsia="zh-CN"/>
              </w:rPr>
              <w:fldChar w:fldCharType="separate"/>
            </w:r>
            <w:r>
              <w:rPr>
                <w:rStyle w:val="45"/>
                <w:rFonts w:hint="default"/>
                <w:lang w:val="en-US" w:eastAsia="zh-CN"/>
              </w:rPr>
              <w:t>https://amr.sz.gov.cn/xyjggs.webui/xyjggs/index.aspx</w:t>
            </w:r>
            <w:r>
              <w:rPr>
                <w:rFonts w:hint="default"/>
                <w:lang w:val="en-US" w:eastAsia="zh-CN"/>
              </w:rPr>
              <w:fldChar w:fldCharType="end"/>
            </w:r>
            <w:r>
              <w:rPr>
                <w:rFonts w:hint="eastAsia"/>
                <w:lang w:val="en-US" w:eastAsia="zh-CN"/>
              </w:rPr>
              <w:t>（深圳市市场监督管理局）</w:t>
            </w:r>
          </w:p>
          <w:p>
            <w:pPr>
              <w:pStyle w:val="79"/>
              <w:rPr>
                <w:rFonts w:hint="default"/>
                <w:lang w:val="en-US" w:eastAsia="zh-CN"/>
              </w:rPr>
            </w:pPr>
            <w:r>
              <w:rPr>
                <w:rFonts w:hint="default"/>
                <w:lang w:val="en-US" w:eastAsia="zh-CN"/>
              </w:rPr>
              <w:fldChar w:fldCharType="begin"/>
            </w:r>
            <w:r>
              <w:rPr>
                <w:rFonts w:hint="default"/>
                <w:lang w:val="en-US" w:eastAsia="zh-CN"/>
              </w:rPr>
              <w:instrText xml:space="preserve"> HYPERLINK "http://zfcg.sz.gov.cn/cgjg/cxda/index.html" </w:instrText>
            </w:r>
            <w:r>
              <w:rPr>
                <w:rFonts w:hint="default"/>
                <w:lang w:val="en-US" w:eastAsia="zh-CN"/>
              </w:rPr>
              <w:fldChar w:fldCharType="separate"/>
            </w:r>
            <w:r>
              <w:rPr>
                <w:rStyle w:val="45"/>
                <w:rFonts w:hint="default"/>
                <w:lang w:val="en-US" w:eastAsia="zh-CN"/>
              </w:rPr>
              <w:t>http://zfcg.sz.gov.cn/cgjg/cxda/index.html</w:t>
            </w:r>
            <w:r>
              <w:rPr>
                <w:rFonts w:hint="default"/>
                <w:lang w:val="en-US" w:eastAsia="zh-CN"/>
              </w:rPr>
              <w:fldChar w:fldCharType="end"/>
            </w:r>
            <w:r>
              <w:rPr>
                <w:rFonts w:hint="eastAsia"/>
                <w:lang w:val="en-US" w:eastAsia="zh-CN"/>
              </w:rPr>
              <w:t>（深圳市政府采购监管网）</w:t>
            </w:r>
          </w:p>
          <w:p>
            <w:pPr>
              <w:snapToGrid w:val="0"/>
              <w:spacing w:line="300" w:lineRule="auto"/>
              <w:rPr>
                <w:rFonts w:hint="eastAsia" w:ascii="宋体" w:hAnsi="宋体"/>
                <w:szCs w:val="21"/>
              </w:rPr>
            </w:pPr>
            <w:r>
              <w:rPr>
                <w:rFonts w:hint="default"/>
                <w:lang w:val="en-US" w:eastAsia="zh-CN"/>
              </w:rPr>
              <w:fldChar w:fldCharType="begin"/>
            </w:r>
            <w:r>
              <w:rPr>
                <w:rFonts w:hint="default"/>
                <w:lang w:val="en-US" w:eastAsia="zh-CN"/>
              </w:rPr>
              <w:instrText xml:space="preserve"> HYPERLINK "https://www.creditchina.gov.cn/home/index.html" </w:instrText>
            </w:r>
            <w:r>
              <w:rPr>
                <w:rFonts w:hint="default"/>
                <w:lang w:val="en-US" w:eastAsia="zh-CN"/>
              </w:rPr>
              <w:fldChar w:fldCharType="separate"/>
            </w:r>
            <w:r>
              <w:rPr>
                <w:rStyle w:val="45"/>
                <w:rFonts w:hint="default"/>
                <w:lang w:val="en-US" w:eastAsia="zh-CN"/>
              </w:rPr>
              <w:t>https://www.creditchina.gov.cn/home/index.html</w:t>
            </w:r>
            <w:r>
              <w:rPr>
                <w:rFonts w:hint="default"/>
                <w:lang w:val="en-US" w:eastAsia="zh-CN"/>
              </w:rPr>
              <w:fldChar w:fldCharType="end"/>
            </w:r>
            <w:r>
              <w:rPr>
                <w:rFonts w:hint="eastAsia"/>
                <w:lang w:val="en-US" w:eastAsia="zh-CN"/>
              </w:rPr>
              <w:t>（信用中国）</w:t>
            </w:r>
          </w:p>
        </w:tc>
      </w:tr>
      <w:bookmarkEnd w:id="0"/>
      <w:bookmarkEnd w:id="1"/>
      <w:bookmarkEnd w:id="2"/>
    </w:tbl>
    <w:p>
      <w:pPr>
        <w:pStyle w:val="7"/>
        <w:jc w:val="both"/>
        <w:rPr>
          <w:rFonts w:cs="宋体"/>
          <w:sz w:val="21"/>
          <w:szCs w:val="21"/>
        </w:rPr>
      </w:pPr>
    </w:p>
    <w:p>
      <w:pPr>
        <w:pStyle w:val="7"/>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合同格式"/>
      <w:bookmarkEnd w:id="3"/>
      <w:bookmarkStart w:id="4" w:name="bt投标函"/>
      <w:bookmarkEnd w:id="4"/>
      <w:bookmarkStart w:id="5" w:name="bt投标报价汇总表"/>
      <w:bookmarkEnd w:id="5"/>
      <w:bookmarkStart w:id="6" w:name="bt商务标投标文件格式"/>
      <w:bookmarkEnd w:id="6"/>
      <w:bookmarkStart w:id="7" w:name="bt其他资料2"/>
      <w:bookmarkEnd w:id="7"/>
      <w:bookmarkStart w:id="8" w:name="bt说明"/>
      <w:bookmarkEnd w:id="8"/>
      <w:bookmarkStart w:id="9" w:name="bt合同条款及格式"/>
      <w:bookmarkEnd w:id="9"/>
      <w:bookmarkStart w:id="10" w:name="bt开标一览表"/>
      <w:bookmarkEnd w:id="10"/>
      <w:bookmarkStart w:id="11" w:name="bt合同格式"/>
      <w:bookmarkEnd w:id="11"/>
      <w:bookmarkStart w:id="12" w:name="bt投标文件签署授权委托书"/>
      <w:bookmarkEnd w:id="12"/>
      <w:bookmarkStart w:id="13" w:name="bt技术标投标文件格式"/>
      <w:bookmarkEnd w:id="13"/>
      <w:bookmarkStart w:id="14" w:name="bt项目管理班子配备情况"/>
      <w:bookmarkEnd w:id="14"/>
      <w:bookmarkStart w:id="15" w:name="bt其他资料由投标人自定"/>
      <w:bookmarkEnd w:id="15"/>
      <w:bookmarkStart w:id="16" w:name="bt投标人情况介绍"/>
      <w:bookmarkEnd w:id="16"/>
      <w:bookmarkStart w:id="17" w:name="bt投标人须知"/>
      <w:bookmarkEnd w:id="17"/>
      <w:bookmarkStart w:id="18" w:name="bt本工程承诺书"/>
      <w:bookmarkEnd w:id="18"/>
      <w:bookmarkStart w:id="19" w:name="bt合同条款"/>
      <w:bookmarkEnd w:id="19"/>
    </w:p>
    <w:p>
      <w:pPr>
        <w:pStyle w:val="4"/>
        <w:pageBreakBefore w:val="0"/>
        <w:kinsoku/>
        <w:wordWrap/>
        <w:overflowPunct/>
        <w:topLinePunct w:val="0"/>
        <w:autoSpaceDE/>
        <w:autoSpaceDN/>
        <w:bidi w:val="0"/>
        <w:snapToGrid/>
        <w:spacing w:line="320" w:lineRule="exact"/>
      </w:pPr>
      <w:r>
        <w:rPr>
          <w:rFonts w:hint="eastAsia"/>
        </w:rPr>
        <w:t>第二章  项目需求</w:t>
      </w:r>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60631620"/>
      <w:bookmarkStart w:id="21" w:name="_Toc73521635"/>
      <w:bookmarkStart w:id="22" w:name="_Toc101074876"/>
      <w:bookmarkStart w:id="23" w:name="_Toc100052364"/>
      <w:bookmarkStart w:id="24" w:name="_Toc73518117"/>
      <w:bookmarkStart w:id="25" w:name="_Toc73517639"/>
      <w:bookmarkStart w:id="26" w:name="_Toc60560625"/>
      <w:bookmarkStart w:id="27" w:name="_Toc73521547"/>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深圳实验学校小学部电动防撞桩</w:t>
      </w:r>
      <w:r>
        <w:rPr>
          <w:rFonts w:hint="eastAsia" w:ascii="宋体" w:hAnsi="宋体" w:cs="宋体"/>
          <w:szCs w:val="21"/>
        </w:rPr>
        <w:t>。</w:t>
      </w:r>
    </w:p>
    <w:p>
      <w:pPr>
        <w:pStyle w:val="2"/>
        <w:rPr>
          <w:rFonts w:hint="eastAsia"/>
        </w:rPr>
      </w:pPr>
    </w:p>
    <w:p>
      <w:pPr>
        <w:pStyle w:val="3"/>
        <w:ind w:left="0" w:leftChars="0" w:firstLine="0" w:firstLineChars="0"/>
        <w:jc w:val="left"/>
        <w:rPr>
          <w:rFonts w:hint="eastAsia"/>
        </w:rPr>
      </w:pPr>
    </w:p>
    <w:p>
      <w:pPr>
        <w:rPr>
          <w:rFonts w:hint="eastAsia"/>
        </w:rPr>
      </w:pPr>
    </w:p>
    <w:p>
      <w:pPr>
        <w:pStyle w:val="7"/>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rPr>
          <w:b/>
          <w:color w:val="auto"/>
          <w:szCs w:val="21"/>
        </w:rPr>
      </w:pPr>
      <w:r>
        <w:rPr>
          <w:rFonts w:hint="eastAsia"/>
          <w:b/>
          <w:color w:val="auto"/>
          <w:szCs w:val="21"/>
        </w:rPr>
        <w:t>说明：</w:t>
      </w:r>
      <w:r>
        <w:rPr>
          <w:b/>
          <w:color w:val="auto"/>
          <w:szCs w:val="21"/>
        </w:rPr>
        <w:t>1.</w:t>
      </w:r>
      <w:r>
        <w:rPr>
          <w:rFonts w:hint="eastAsia"/>
          <w:b/>
          <w:color w:val="auto"/>
          <w:szCs w:val="21"/>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noWrap w:val="0"/>
            <w:vAlign w:val="top"/>
          </w:tcPr>
          <w:p>
            <w:pPr>
              <w:adjustRightInd w:val="0"/>
              <w:snapToGrid w:val="0"/>
              <w:spacing w:line="360" w:lineRule="auto"/>
              <w:rPr>
                <w:rFonts w:hAnsi="宋体"/>
                <w:kern w:val="0"/>
                <w:szCs w:val="21"/>
              </w:rPr>
            </w:pPr>
            <w:r>
              <w:rPr>
                <w:rFonts w:hint="eastAsia" w:hAnsi="宋体"/>
                <w:kern w:val="0"/>
                <w:szCs w:val="21"/>
              </w:rPr>
              <w:t>本项目服务的</w:t>
            </w:r>
            <w:r>
              <w:rPr>
                <w:rFonts w:hint="eastAsia" w:hAnsi="宋体"/>
                <w:kern w:val="0"/>
                <w:szCs w:val="21"/>
                <w:lang w:val="en-US" w:eastAsia="zh-CN"/>
              </w:rPr>
              <w:t>资质</w:t>
            </w:r>
            <w:r>
              <w:rPr>
                <w:rFonts w:hint="eastAsia" w:hAnsi="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noWrap w:val="0"/>
            <w:vAlign w:val="top"/>
          </w:tcPr>
          <w:p>
            <w:pPr>
              <w:adjustRightInd w:val="0"/>
              <w:snapToGrid w:val="0"/>
              <w:spacing w:line="360" w:lineRule="auto"/>
              <w:rPr>
                <w:rFonts w:hint="default" w:hAnsi="宋体" w:eastAsia="宋体"/>
                <w:kern w:val="0"/>
                <w:szCs w:val="21"/>
                <w:lang w:val="en-US" w:eastAsia="zh-CN"/>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Cs w:val="21"/>
              </w:rPr>
            </w:pPr>
            <w:r>
              <w:rPr>
                <w:rFonts w:hint="eastAsia" w:ascii="宋体" w:hAnsi="宋体"/>
                <w:kern w:val="0"/>
                <w:szCs w:val="21"/>
              </w:rPr>
              <w:t>……</w:t>
            </w:r>
          </w:p>
        </w:tc>
        <w:tc>
          <w:tcPr>
            <w:tcW w:w="7483" w:type="dxa"/>
            <w:noWrap w:val="0"/>
            <w:vAlign w:val="top"/>
          </w:tcPr>
          <w:p>
            <w:pPr>
              <w:adjustRightInd w:val="0"/>
              <w:snapToGrid w:val="0"/>
              <w:spacing w:line="360" w:lineRule="auto"/>
              <w:rPr>
                <w:rFonts w:hAnsi="宋体"/>
                <w:kern w:val="0"/>
                <w:szCs w:val="21"/>
              </w:rPr>
            </w:pPr>
          </w:p>
        </w:tc>
      </w:tr>
    </w:tbl>
    <w:p>
      <w:pPr>
        <w:rPr>
          <w:color w:val="auto"/>
          <w:highlight w:val="none"/>
        </w:rPr>
      </w:pPr>
      <w:r>
        <w:rPr>
          <w:rFonts w:hint="eastAsia"/>
          <w:color w:val="auto"/>
          <w:highlight w:val="none"/>
        </w:rPr>
        <w:t>注：上表所列内容为不可负偏离条款，即任何一条不满足将会导致投标无效。</w:t>
      </w:r>
    </w:p>
    <w:p>
      <w:pPr>
        <w:pStyle w:val="2"/>
      </w:pPr>
    </w:p>
    <w:p>
      <w:pPr>
        <w:pStyle w:val="3"/>
        <w:ind w:left="0" w:leftChars="0" w:firstLine="0" w:firstLineChars="0"/>
      </w:pPr>
    </w:p>
    <w:p/>
    <w:p>
      <w:pPr>
        <w:pStyle w:val="7"/>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14</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个</w:t>
            </w:r>
          </w:p>
        </w:tc>
        <w:tc>
          <w:tcPr>
            <w:tcW w:w="1378"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188000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default" w:ascii="微软雅黑" w:hAnsi="微软雅黑" w:eastAsia="微软雅黑" w:cs="微软雅黑"/>
                <w:color w:val="000000" w:themeColor="text1"/>
                <w:kern w:val="0"/>
                <w:sz w:val="16"/>
                <w:szCs w:val="16"/>
                <w:lang w:val="en-US" w:eastAsia="zh-CN"/>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2</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p>
        </w:tc>
        <w:tc>
          <w:tcPr>
            <w:tcW w:w="1378"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b/>
                <w:szCs w:val="21"/>
                <w:lang w:val="en-US" w:eastAsia="zh-CN"/>
              </w:rPr>
            </w:pP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3"/>
        <w:ind w:left="0" w:leftChars="0" w:firstLine="0" w:firstLineChars="0"/>
        <w:rPr>
          <w:rFonts w:ascii="宋体" w:hAnsi="宋体" w:cs="宋体"/>
          <w:b/>
          <w:bCs/>
          <w:szCs w:val="21"/>
        </w:rPr>
      </w:pPr>
    </w:p>
    <w:p/>
    <w:p>
      <w:pPr>
        <w:pStyle w:val="7"/>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1"/>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10"/>
        <w:gridCol w:w="1087"/>
        <w:gridCol w:w="5729"/>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445"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197" w:type="dxa"/>
            <w:gridSpan w:val="2"/>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货物名称</w:t>
            </w:r>
          </w:p>
        </w:tc>
        <w:tc>
          <w:tcPr>
            <w:tcW w:w="5729"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868"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trPr>
        <w:tc>
          <w:tcPr>
            <w:tcW w:w="445" w:type="dxa"/>
            <w:vMerge w:val="restart"/>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1110" w:type="dxa"/>
            <w:vMerge w:val="restart"/>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p>
        </w:tc>
        <w:tc>
          <w:tcPr>
            <w:tcW w:w="1087"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kern w:val="0"/>
                <w:sz w:val="15"/>
                <w:szCs w:val="15"/>
              </w:rPr>
              <w:t>行业规范标准基础性要求</w:t>
            </w:r>
          </w:p>
        </w:tc>
        <w:tc>
          <w:tcPr>
            <w:tcW w:w="5729" w:type="dxa"/>
            <w:vAlign w:val="center"/>
          </w:tcPr>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1、防撞柱体驱动方式：全自动液压机电一体式（每根升降柱内部单独配置液压机芯）；</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2、防撞柱体尺寸：直径≥219mm；柱体厚度≥6mm；柱体高度（拦截高度）≥600 mm；盖板厚度≥10mm；表面磨砂工艺；</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3、地面装饰法兰，地面装饰法兰直径：400mm±5mm；地面装饰法兰厚度：≥10mm；材质为SUS304不锈钢；</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4、预埋桶尺寸：直径≥320mm；壁厚：≥2mm；预埋桶边缘需有防撞加强点位及焊接固定条设计；</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5、工作电压220V/50HZ；额定功率≥350W；</w:t>
            </w:r>
          </w:p>
          <w:p>
            <w:pPr>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6、运行速度：上升时间</w:t>
            </w:r>
            <w:r>
              <w:rPr>
                <w:rFonts w:cs="微软雅黑" w:asciiTheme="minorHAnsi" w:hAnsiTheme="minorHAnsi" w:eastAsiaTheme="minorHAnsi"/>
                <w:color w:val="000000" w:themeColor="text1"/>
                <w:kern w:val="0"/>
                <w:sz w:val="18"/>
                <w:szCs w:val="18"/>
                <w14:textFill>
                  <w14:solidFill>
                    <w14:schemeClr w14:val="tx1"/>
                  </w14:solidFill>
                </w14:textFill>
              </w:rPr>
              <w:t>2</w:t>
            </w:r>
            <w:r>
              <w:rPr>
                <w:rFonts w:hint="eastAsia" w:cs="微软雅黑" w:asciiTheme="minorHAnsi" w:hAnsiTheme="minorHAnsi" w:eastAsiaTheme="minorHAnsi"/>
                <w:color w:val="000000" w:themeColor="text1"/>
                <w:kern w:val="0"/>
                <w:sz w:val="18"/>
                <w:szCs w:val="18"/>
                <w14:textFill>
                  <w14:solidFill>
                    <w14:schemeClr w14:val="tx1"/>
                  </w14:solidFill>
                </w14:textFill>
              </w:rPr>
              <w:t>~</w:t>
            </w: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s,下降：</w:t>
            </w:r>
            <w:r>
              <w:rPr>
                <w:rFonts w:cs="微软雅黑" w:asciiTheme="minorHAnsi" w:hAnsiTheme="minorHAnsi" w:eastAsiaTheme="minorHAnsi"/>
                <w:color w:val="000000" w:themeColor="text1"/>
                <w:kern w:val="0"/>
                <w:sz w:val="18"/>
                <w:szCs w:val="18"/>
                <w14:textFill>
                  <w14:solidFill>
                    <w14:schemeClr w14:val="tx1"/>
                  </w14:solidFill>
                </w14:textFill>
              </w:rPr>
              <w:t>2</w:t>
            </w:r>
            <w:r>
              <w:rPr>
                <w:rFonts w:hint="eastAsia" w:cs="微软雅黑" w:asciiTheme="minorHAnsi" w:hAnsiTheme="minorHAnsi" w:eastAsiaTheme="minorHAnsi"/>
                <w:color w:val="000000" w:themeColor="text1"/>
                <w:kern w:val="0"/>
                <w:sz w:val="18"/>
                <w:szCs w:val="18"/>
                <w14:textFill>
                  <w14:solidFill>
                    <w14:schemeClr w14:val="tx1"/>
                  </w14:solidFill>
                </w14:textFill>
              </w:rPr>
              <w:t>~</w:t>
            </w: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s；</w:t>
            </w:r>
          </w:p>
          <w:p>
            <w:pPr>
              <w:spacing w:line="240" w:lineRule="auto"/>
              <w:jc w:val="left"/>
              <w:rPr>
                <w:rFonts w:cs="微软雅黑" w:asciiTheme="minorHAnsi" w:hAnsiTheme="minorHAnsi" w:eastAsiaTheme="minorHAnsi"/>
                <w:color w:val="000000" w:themeColor="text1"/>
                <w:sz w:val="18"/>
                <w:szCs w:val="18"/>
                <w14:textFill>
                  <w14:solidFill>
                    <w14:schemeClr w14:val="tx1"/>
                  </w14:solidFill>
                </w14:textFill>
              </w:rPr>
            </w:pPr>
            <w:r>
              <w:rPr>
                <w:rFonts w:hint="eastAsia" w:asciiTheme="minorHAnsi" w:hAnsiTheme="minorHAnsi" w:eastAsiaTheme="minorHAnsi"/>
                <w:kern w:val="0"/>
                <w:sz w:val="18"/>
                <w:szCs w:val="18"/>
              </w:rPr>
              <w:t>▲</w:t>
            </w:r>
            <w:r>
              <w:rPr>
                <w:rFonts w:hint="eastAsia" w:cs="微软雅黑" w:asciiTheme="minorHAnsi" w:hAnsiTheme="minorHAnsi" w:eastAsiaTheme="minorHAnsi"/>
                <w:color w:val="000000" w:themeColor="text1"/>
                <w:sz w:val="18"/>
                <w:szCs w:val="18"/>
                <w14:textFill>
                  <w14:solidFill>
                    <w14:schemeClr w14:val="tx1"/>
                  </w14:solidFill>
                </w14:textFill>
              </w:rPr>
              <w:t>7、</w:t>
            </w:r>
            <w:r>
              <w:rPr>
                <w:rFonts w:hint="eastAsia" w:cs="微软雅黑" w:asciiTheme="minorHAnsi" w:hAnsiTheme="minorHAnsi" w:eastAsiaTheme="minorHAnsi"/>
                <w:color w:val="000000" w:themeColor="text1"/>
                <w:kern w:val="0"/>
                <w:sz w:val="18"/>
                <w:szCs w:val="18"/>
                <w14:textFill>
                  <w14:solidFill>
                    <w14:schemeClr w14:val="tx1"/>
                  </w14:solidFill>
                </w14:textFill>
              </w:rPr>
              <w:t>环境适应性：低温达到-30℃±2℃时能够正常工作，高温达到+55℃±2℃时能够正常工作，应符合GA/T 1343-2016行业标准的5.4.1规定；</w:t>
            </w:r>
          </w:p>
          <w:p>
            <w:pPr>
              <w:spacing w:line="240" w:lineRule="auto"/>
              <w:jc w:val="left"/>
              <w:rPr>
                <w:rFonts w:asciiTheme="minorHAnsi" w:hAnsiTheme="minorHAnsi" w:eastAsiaTheme="minorHAnsi"/>
                <w:kern w:val="0"/>
                <w:sz w:val="18"/>
                <w:szCs w:val="18"/>
              </w:rPr>
            </w:pPr>
            <w:r>
              <w:rPr>
                <w:rFonts w:cs="微软雅黑" w:asciiTheme="minorHAnsi" w:hAnsiTheme="minorHAnsi" w:eastAsiaTheme="minorHAnsi"/>
                <w:color w:val="000000" w:themeColor="text1"/>
                <w:kern w:val="0"/>
                <w:sz w:val="18"/>
                <w:szCs w:val="18"/>
                <w14:textFill>
                  <w14:solidFill>
                    <w14:schemeClr w14:val="tx1"/>
                  </w14:solidFill>
                </w14:textFill>
              </w:rPr>
              <w:t>8</w:t>
            </w:r>
            <w:r>
              <w:rPr>
                <w:rFonts w:hint="eastAsia" w:cs="微软雅黑" w:asciiTheme="minorHAnsi" w:hAnsiTheme="minorHAnsi" w:eastAsiaTheme="minorHAnsi"/>
                <w:color w:val="000000" w:themeColor="text1"/>
                <w:kern w:val="0"/>
                <w:sz w:val="18"/>
                <w:szCs w:val="18"/>
                <w14:textFill>
                  <w14:solidFill>
                    <w14:schemeClr w14:val="tx1"/>
                  </w14:solidFill>
                </w14:textFill>
              </w:rPr>
              <w:t>、警示方式要求：柱体顶端有蓝白色反光标示带及蓝色LED警示灯带，灯带需加亚克力或塑料灯盘保护；</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asciiTheme="minorHAnsi" w:hAnsiTheme="minorHAnsi" w:eastAsiaTheme="minorHAnsi"/>
                <w:kern w:val="0"/>
                <w:sz w:val="18"/>
                <w:szCs w:val="18"/>
              </w:rPr>
              <w:t>▲</w:t>
            </w:r>
            <w:r>
              <w:rPr>
                <w:rFonts w:cs="微软雅黑" w:asciiTheme="minorHAnsi" w:hAnsiTheme="minorHAnsi" w:eastAsiaTheme="minorHAnsi"/>
                <w:color w:val="000000" w:themeColor="text1"/>
                <w:kern w:val="0"/>
                <w:sz w:val="18"/>
                <w:szCs w:val="18"/>
                <w14:textFill>
                  <w14:solidFill>
                    <w14:schemeClr w14:val="tx1"/>
                  </w14:solidFill>
                </w14:textFill>
              </w:rPr>
              <w:t>9</w:t>
            </w:r>
            <w:r>
              <w:rPr>
                <w:rFonts w:hint="eastAsia" w:cs="微软雅黑" w:asciiTheme="minorHAnsi" w:hAnsiTheme="minorHAnsi" w:eastAsiaTheme="minorHAnsi"/>
                <w:color w:val="000000" w:themeColor="text1"/>
                <w:kern w:val="0"/>
                <w:sz w:val="18"/>
                <w:szCs w:val="18"/>
                <w14:textFill>
                  <w14:solidFill>
                    <w14:schemeClr w14:val="tx1"/>
                  </w14:solidFill>
                </w14:textFill>
              </w:rPr>
              <w:t>、路障主体底部有排水系统设计，可有效排水；排水管口直径≥50mm，排水管口壁厚≥4mm；</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10</w:t>
            </w:r>
            <w:r>
              <w:rPr>
                <w:rFonts w:hint="eastAsia" w:cs="微软雅黑" w:asciiTheme="minorHAnsi" w:hAnsiTheme="minorHAnsi" w:eastAsiaTheme="minorHAnsi"/>
                <w:color w:val="000000" w:themeColor="text1"/>
                <w:kern w:val="0"/>
                <w:sz w:val="18"/>
                <w:szCs w:val="18"/>
                <w14:textFill>
                  <w14:solidFill>
                    <w14:schemeClr w14:val="tx1"/>
                  </w14:solidFill>
                </w14:textFill>
              </w:rPr>
              <w:t>、路障主体应具备可拆卸结构设计，预埋桶和路障动力系统后续可拆卸分离进行维修维护（需提供带有“CNAS”和“CMA”标志的检测报告佐证）；</w:t>
            </w:r>
          </w:p>
          <w:p>
            <w:pPr>
              <w:pStyle w:val="2"/>
              <w:spacing w:after="0" w:line="240" w:lineRule="auto"/>
              <w:rPr>
                <w:rFonts w:hint="eastAsia" w:cs="微软雅黑" w:asciiTheme="minorHAnsi" w:hAnsiTheme="minorHAnsi" w:eastAsiaTheme="minorHAnsi"/>
                <w:b w:val="0"/>
                <w:bCs w:val="0"/>
                <w:color w:val="000000" w:themeColor="text1"/>
                <w:kern w:val="0"/>
                <w:sz w:val="18"/>
                <w:szCs w:val="18"/>
                <w:lang w:val="en-US" w:eastAsia="zh-CN" w:bidi="ar-SA"/>
                <w14:textFill>
                  <w14:solidFill>
                    <w14:schemeClr w14:val="tx1"/>
                  </w14:solidFill>
                </w14:textFill>
              </w:rPr>
            </w:pPr>
            <w:r>
              <w:rPr>
                <w:rFonts w:hint="eastAsia" w:cs="微软雅黑" w:asciiTheme="minorHAnsi" w:hAnsiTheme="minorHAnsi" w:eastAsiaTheme="minorHAnsi"/>
                <w:b w:val="0"/>
                <w:bCs w:val="0"/>
                <w:color w:val="000000" w:themeColor="text1"/>
                <w:kern w:val="0"/>
                <w:sz w:val="18"/>
                <w:szCs w:val="18"/>
                <w:lang w:val="en-US" w:eastAsia="zh-CN" w:bidi="ar-SA"/>
                <w14:textFill>
                  <w14:solidFill>
                    <w14:schemeClr w14:val="tx1"/>
                  </w14:solidFill>
                </w14:textFill>
              </w:rPr>
              <w:t>11：阻挡性能：符合GA/T 1343-2016行业标准（提供检测报告）；12、路障阻挡主体在升起或下降时可以紧急停止；路障阻挡主体遇到停电时，配有应急电源用于紧急下降和手动下降功能，应急电源容量应大于等于12V/7.5Ah；</w:t>
            </w:r>
          </w:p>
          <w:p>
            <w:pPr>
              <w:widowControl/>
              <w:spacing w:line="240" w:lineRule="auto"/>
              <w:jc w:val="left"/>
              <w:rPr>
                <w:rFonts w:hint="eastAsia" w:asciiTheme="minorEastAsia" w:hAnsiTheme="minorEastAsia" w:eastAsiaTheme="minorEastAsia" w:cstheme="minorEastAsia"/>
                <w:bCs/>
                <w:kern w:val="2"/>
                <w:sz w:val="21"/>
                <w:szCs w:val="21"/>
                <w:highlight w:val="none"/>
                <w:lang w:val="en-US" w:eastAsia="zh-CN" w:bidi="ar-SA"/>
              </w:rPr>
            </w:pPr>
            <w:r>
              <w:rPr>
                <w:rFonts w:hint="eastAsia" w:cs="微软雅黑" w:asciiTheme="minorHAnsi" w:hAnsiTheme="minorHAnsi" w:eastAsiaTheme="minorHAnsi"/>
                <w:b w:val="0"/>
                <w:bCs w:val="0"/>
                <w:color w:val="000000" w:themeColor="text1"/>
                <w:kern w:val="0"/>
                <w:sz w:val="18"/>
                <w:szCs w:val="18"/>
                <w:lang w:val="en-US" w:eastAsia="zh-CN" w:bidi="ar-SA"/>
                <w14:textFill>
                  <w14:solidFill>
                    <w14:schemeClr w14:val="tx1"/>
                  </w14:solidFill>
                </w14:textFill>
              </w:rPr>
              <w:t>13、路障阻挡主体应能正常升降、无卡滞、到位可靠；内部升降行程导柱数量应大于等于3根；</w:t>
            </w:r>
          </w:p>
        </w:tc>
        <w:tc>
          <w:tcPr>
            <w:tcW w:w="868" w:type="dxa"/>
            <w:vMerge w:val="restart"/>
            <w:vAlign w:val="center"/>
          </w:tcPr>
          <w:p>
            <w:pPr>
              <w:pStyle w:val="2"/>
              <w:spacing w:after="0" w:line="240" w:lineRule="auto"/>
              <w:rPr>
                <w:rFonts w:asciiTheme="minorHAnsi" w:hAnsiTheme="minorHAnsi" w:eastAsiaTheme="minorHAnsi"/>
                <w:b w:val="0"/>
                <w:bCs w:val="0"/>
                <w:sz w:val="18"/>
                <w:szCs w:val="18"/>
              </w:rPr>
            </w:pPr>
            <w:r>
              <w:rPr>
                <w:rFonts w:asciiTheme="minorHAnsi" w:hAnsiTheme="minorHAnsi" w:eastAsiaTheme="minorHAnsi"/>
                <w:b w:val="0"/>
                <w:bCs w:val="0"/>
                <w:sz w:val="18"/>
                <w:szCs w:val="18"/>
              </w:rPr>
              <w:t>1</w:t>
            </w:r>
            <w:r>
              <w:rPr>
                <w:rFonts w:hint="eastAsia" w:asciiTheme="minorHAnsi" w:hAnsiTheme="minorHAnsi" w:eastAsiaTheme="minorHAnsi"/>
                <w:b w:val="0"/>
                <w:bCs w:val="0"/>
                <w:sz w:val="18"/>
                <w:szCs w:val="18"/>
              </w:rPr>
              <w:t>、施工前需进行路面检测，探明地下环境，确保施工、产品等符合地铁相关规定；施工后需使用符合规定的混凝土、沙石等进行恢复，并完成垃圾清运、产地清理工作。</w:t>
            </w:r>
          </w:p>
          <w:p>
            <w:pPr>
              <w:pStyle w:val="2"/>
              <w:spacing w:after="0" w:line="240" w:lineRule="auto"/>
              <w:rPr>
                <w:rFonts w:asciiTheme="minorHAnsi" w:hAnsiTheme="minorHAnsi" w:eastAsiaTheme="minorHAnsi"/>
                <w:b w:val="0"/>
                <w:bCs w:val="0"/>
                <w:sz w:val="18"/>
                <w:szCs w:val="18"/>
              </w:rPr>
            </w:pPr>
          </w:p>
          <w:p>
            <w:pPr>
              <w:pStyle w:val="2"/>
              <w:spacing w:after="0" w:line="240" w:lineRule="auto"/>
              <w:rPr>
                <w:rFonts w:asciiTheme="minorHAnsi" w:hAnsiTheme="minorHAnsi" w:eastAsiaTheme="minorHAnsi"/>
                <w:b w:val="0"/>
                <w:bCs w:val="0"/>
                <w:sz w:val="18"/>
                <w:szCs w:val="18"/>
              </w:rPr>
            </w:pPr>
          </w:p>
          <w:p>
            <w:pPr>
              <w:pStyle w:val="2"/>
              <w:spacing w:after="0" w:line="240" w:lineRule="auto"/>
              <w:rPr>
                <w:rFonts w:asciiTheme="minorHAnsi" w:hAnsiTheme="minorHAnsi" w:eastAsiaTheme="minorHAnsi"/>
                <w:b w:val="0"/>
                <w:bCs w:val="0"/>
                <w:sz w:val="18"/>
                <w:szCs w:val="18"/>
              </w:rPr>
            </w:pPr>
          </w:p>
          <w:p>
            <w:pPr>
              <w:pStyle w:val="2"/>
              <w:spacing w:after="0" w:line="240" w:lineRule="auto"/>
              <w:rPr>
                <w:rFonts w:asciiTheme="minorHAnsi" w:hAnsiTheme="minorHAnsi" w:eastAsiaTheme="minorHAnsi"/>
                <w:b w:val="0"/>
                <w:bCs w:val="0"/>
                <w:sz w:val="18"/>
                <w:szCs w:val="18"/>
              </w:rPr>
            </w:pPr>
          </w:p>
          <w:p>
            <w:pPr>
              <w:pStyle w:val="2"/>
              <w:spacing w:after="0" w:line="240" w:lineRule="auto"/>
              <w:rPr>
                <w:rFonts w:asciiTheme="minorHAnsi" w:hAnsiTheme="minorHAnsi" w:eastAsiaTheme="minorHAnsi"/>
                <w:b w:val="0"/>
                <w:bCs w:val="0"/>
                <w:sz w:val="18"/>
                <w:szCs w:val="18"/>
              </w:rPr>
            </w:pPr>
            <w:r>
              <w:rPr>
                <w:rFonts w:asciiTheme="minorHAnsi" w:hAnsiTheme="minorHAnsi" w:eastAsiaTheme="minorHAnsi"/>
                <w:b w:val="0"/>
                <w:bCs w:val="0"/>
                <w:sz w:val="18"/>
                <w:szCs w:val="18"/>
              </w:rPr>
              <w:t>2</w:t>
            </w:r>
            <w:r>
              <w:rPr>
                <w:rFonts w:hint="eastAsia" w:asciiTheme="minorHAnsi" w:hAnsiTheme="minorHAnsi" w:eastAsiaTheme="minorHAnsi"/>
                <w:b w:val="0"/>
                <w:bCs w:val="0"/>
                <w:sz w:val="18"/>
                <w:szCs w:val="18"/>
              </w:rPr>
              <w:t>、投标时须提供现场实施方案、效果图及施工图；</w:t>
            </w:r>
          </w:p>
          <w:p>
            <w:pPr>
              <w:widowControl/>
              <w:spacing w:line="240" w:lineRule="auto"/>
              <w:jc w:val="left"/>
              <w:rPr>
                <w:rFonts w:cs="微软雅黑" w:asciiTheme="minorHAnsi" w:hAnsiTheme="minorHAnsi" w:eastAsiaTheme="minorHAnsi"/>
                <w:b w:val="0"/>
                <w:bCs w:val="0"/>
                <w:color w:val="000000" w:themeColor="text1"/>
                <w:kern w:val="0"/>
                <w:sz w:val="18"/>
                <w:szCs w:val="18"/>
                <w14:textFill>
                  <w14:solidFill>
                    <w14:schemeClr w14:val="tx1"/>
                  </w14:solidFill>
                </w14:textFill>
              </w:rPr>
            </w:pPr>
          </w:p>
          <w:p>
            <w:pPr>
              <w:widowControl/>
              <w:spacing w:line="240" w:lineRule="auto"/>
              <w:jc w:val="left"/>
              <w:rPr>
                <w:rFonts w:cs="微软雅黑" w:asciiTheme="minorHAnsi" w:hAnsiTheme="minorHAnsi" w:eastAsiaTheme="minorHAnsi"/>
                <w:b w:val="0"/>
                <w:bCs w:val="0"/>
                <w:color w:val="000000" w:themeColor="text1"/>
                <w:kern w:val="0"/>
                <w:sz w:val="18"/>
                <w:szCs w:val="18"/>
                <w14:textFill>
                  <w14:solidFill>
                    <w14:schemeClr w14:val="tx1"/>
                  </w14:solidFill>
                </w14:textFill>
              </w:rPr>
            </w:pPr>
          </w:p>
          <w:p>
            <w:pPr>
              <w:widowControl/>
              <w:spacing w:line="240" w:lineRule="auto"/>
              <w:jc w:val="left"/>
              <w:rPr>
                <w:rFonts w:cs="微软雅黑" w:asciiTheme="minorHAnsi" w:hAnsiTheme="minorHAnsi" w:eastAsiaTheme="minorHAnsi"/>
                <w:b w:val="0"/>
                <w:bCs w:val="0"/>
                <w:color w:val="000000" w:themeColor="text1"/>
                <w:kern w:val="0"/>
                <w:sz w:val="18"/>
                <w:szCs w:val="18"/>
                <w14:textFill>
                  <w14:solidFill>
                    <w14:schemeClr w14:val="tx1"/>
                  </w14:solidFill>
                </w14:textFill>
              </w:rPr>
            </w:pPr>
          </w:p>
          <w:p>
            <w:pPr>
              <w:widowControl/>
              <w:spacing w:line="240" w:lineRule="auto"/>
              <w:jc w:val="left"/>
              <w:rPr>
                <w:rFonts w:cs="微软雅黑" w:asciiTheme="minorHAnsi" w:hAnsiTheme="minorHAnsi" w:eastAsiaTheme="minorHAnsi"/>
                <w:b w:val="0"/>
                <w:bCs w:val="0"/>
                <w:color w:val="000000" w:themeColor="text1"/>
                <w:kern w:val="0"/>
                <w:sz w:val="18"/>
                <w:szCs w:val="18"/>
                <w14:textFill>
                  <w14:solidFill>
                    <w14:schemeClr w14:val="tx1"/>
                  </w14:solidFill>
                </w14:textFill>
              </w:rPr>
            </w:pPr>
          </w:p>
          <w:p>
            <w:pPr>
              <w:widowControl/>
              <w:spacing w:line="240" w:lineRule="auto"/>
              <w:jc w:val="left"/>
              <w:rPr>
                <w:rFonts w:hint="eastAsia" w:cs="微软雅黑" w:asciiTheme="minorHAnsi" w:hAnsiTheme="minorHAnsi" w:eastAsiaTheme="minorHAnsi"/>
                <w:b w:val="0"/>
                <w:bCs w:val="0"/>
                <w:color w:val="000000" w:themeColor="text1"/>
                <w:kern w:val="0"/>
                <w:sz w:val="18"/>
                <w:szCs w:val="18"/>
                <w:lang w:val="en-US" w:eastAsia="zh-CN" w:bidi="ar-SA"/>
                <w14:textFill>
                  <w14:solidFill>
                    <w14:schemeClr w14:val="tx1"/>
                  </w14:solidFill>
                </w14:textFill>
              </w:rPr>
            </w:pPr>
            <w:r>
              <w:rPr>
                <w:rFonts w:cs="微软雅黑" w:asciiTheme="minorHAnsi" w:hAnsiTheme="minorHAnsi" w:eastAsiaTheme="minorHAnsi"/>
                <w:b w:val="0"/>
                <w:bCs w:val="0"/>
                <w:color w:val="000000" w:themeColor="text1"/>
                <w:kern w:val="0"/>
                <w:sz w:val="18"/>
                <w:szCs w:val="18"/>
                <w14:textFill>
                  <w14:solidFill>
                    <w14:schemeClr w14:val="tx1"/>
                  </w14:solidFill>
                </w14:textFill>
              </w:rPr>
              <w:t>3</w:t>
            </w:r>
            <w:r>
              <w:rPr>
                <w:rFonts w:hint="eastAsia" w:cs="微软雅黑" w:asciiTheme="minorHAnsi" w:hAnsiTheme="minorHAnsi" w:eastAsiaTheme="minorHAnsi"/>
                <w:b w:val="0"/>
                <w:bCs w:val="0"/>
                <w:color w:val="000000" w:themeColor="text1"/>
                <w:kern w:val="0"/>
                <w:sz w:val="18"/>
                <w:szCs w:val="18"/>
                <w14:textFill>
                  <w14:solidFill>
                    <w14:schemeClr w14:val="tx1"/>
                  </w14:solidFill>
                </w14:textFill>
              </w:rPr>
              <w:t>、施工方需提供详细的质量保证措施、相关施工配套措施以及售后服务保障能力等说明。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445" w:type="dxa"/>
            <w:vMerge w:val="continue"/>
            <w:vAlign w:val="center"/>
          </w:tcPr>
          <w:p>
            <w:pPr>
              <w:pageBreakBefore w:val="0"/>
              <w:widowControl/>
              <w:kinsoku/>
              <w:wordWrap/>
              <w:overflowPunct/>
              <w:topLinePunct w:val="0"/>
              <w:autoSpaceDE/>
              <w:autoSpaceDN/>
              <w:bidi w:val="0"/>
              <w:snapToGrid/>
              <w:spacing w:line="320" w:lineRule="exact"/>
              <w:jc w:val="center"/>
              <w:textAlignment w:val="center"/>
              <w:rPr>
                <w:rFonts w:hint="eastAsia"/>
              </w:rPr>
            </w:pPr>
          </w:p>
        </w:tc>
        <w:tc>
          <w:tcPr>
            <w:tcW w:w="1110" w:type="dxa"/>
            <w:vMerge w:val="continue"/>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p>
        </w:tc>
        <w:tc>
          <w:tcPr>
            <w:tcW w:w="1087" w:type="dxa"/>
            <w:vAlign w:val="center"/>
          </w:tcPr>
          <w:p>
            <w:pPr>
              <w:widowControl/>
              <w:spacing w:line="320" w:lineRule="exact"/>
              <w:jc w:val="center"/>
              <w:rPr>
                <w:rFonts w:hint="eastAsia" w:asciiTheme="minorEastAsia" w:hAnsiTheme="minorEastAsia" w:eastAsiaTheme="minorEastAsia" w:cstheme="minorEastAsia"/>
                <w:bCs/>
                <w:kern w:val="2"/>
                <w:sz w:val="21"/>
                <w:szCs w:val="21"/>
                <w:highlight w:val="none"/>
                <w:lang w:val="en-US" w:eastAsia="zh-CN" w:bidi="ar-SA"/>
              </w:rPr>
            </w:pPr>
            <w:r>
              <w:rPr>
                <w:rFonts w:hint="eastAsia" w:ascii="微软雅黑" w:hAnsi="微软雅黑" w:eastAsia="微软雅黑" w:cs="微软雅黑"/>
                <w:color w:val="000000" w:themeColor="text1"/>
                <w:kern w:val="0"/>
                <w:sz w:val="15"/>
                <w:szCs w:val="15"/>
                <w14:textFill>
                  <w14:solidFill>
                    <w14:schemeClr w14:val="tx1"/>
                  </w14:solidFill>
                </w14:textFill>
              </w:rPr>
              <w:t>产品材料及工艺规范要求</w:t>
            </w:r>
          </w:p>
        </w:tc>
        <w:tc>
          <w:tcPr>
            <w:tcW w:w="5729" w:type="dxa"/>
            <w:vAlign w:val="center"/>
          </w:tcPr>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asciiTheme="minorHAnsi" w:hAnsiTheme="minorHAnsi" w:eastAsiaTheme="minorHAnsi"/>
                <w:kern w:val="0"/>
                <w:sz w:val="18"/>
                <w:szCs w:val="18"/>
              </w:rPr>
              <w:t>▲</w:t>
            </w:r>
            <w:r>
              <w:rPr>
                <w:rFonts w:hint="eastAsia" w:cs="微软雅黑" w:asciiTheme="minorHAnsi" w:hAnsiTheme="minorHAnsi" w:eastAsiaTheme="minorHAnsi"/>
                <w:color w:val="000000" w:themeColor="text1"/>
                <w:kern w:val="0"/>
                <w:sz w:val="18"/>
                <w:szCs w:val="18"/>
                <w14:textFill>
                  <w14:solidFill>
                    <w14:schemeClr w14:val="tx1"/>
                  </w14:solidFill>
                </w14:textFill>
              </w:rPr>
              <w:t>1、防水要求：路桩阻挡主体在浸水状态下无漏电现象，且能正常升降，应符合</w:t>
            </w:r>
            <w:r>
              <w:rPr>
                <w:rFonts w:cs="微软雅黑" w:asciiTheme="minorHAnsi" w:hAnsiTheme="minorHAnsi" w:eastAsiaTheme="minorHAnsi"/>
                <w:color w:val="000000" w:themeColor="text1"/>
                <w:kern w:val="0"/>
                <w:sz w:val="18"/>
                <w:szCs w:val="18"/>
                <w14:textFill>
                  <w14:solidFill>
                    <w14:schemeClr w14:val="tx1"/>
                  </w14:solidFill>
                </w14:textFill>
              </w:rPr>
              <w:t>GA/T 1343-2016</w:t>
            </w:r>
            <w:r>
              <w:rPr>
                <w:rFonts w:hint="eastAsia" w:cs="微软雅黑" w:asciiTheme="minorHAnsi" w:hAnsiTheme="minorHAnsi" w:eastAsiaTheme="minorHAnsi"/>
                <w:color w:val="000000" w:themeColor="text1"/>
                <w:kern w:val="0"/>
                <w:sz w:val="18"/>
                <w:szCs w:val="18"/>
                <w14:textFill>
                  <w14:solidFill>
                    <w14:schemeClr w14:val="tx1"/>
                  </w14:solidFill>
                </w14:textFill>
              </w:rPr>
              <w:t>行业标淮5.4.1的要求。（需供检测报告）</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2</w:t>
            </w:r>
            <w:r>
              <w:rPr>
                <w:rFonts w:hint="eastAsia" w:cs="微软雅黑" w:asciiTheme="minorHAnsi" w:hAnsiTheme="minorHAnsi" w:eastAsiaTheme="minorHAnsi"/>
                <w:color w:val="000000" w:themeColor="text1"/>
                <w:kern w:val="0"/>
                <w:sz w:val="18"/>
                <w:szCs w:val="18"/>
                <w14:textFill>
                  <w14:solidFill>
                    <w14:schemeClr w14:val="tx1"/>
                  </w14:solidFill>
                </w14:textFill>
              </w:rPr>
              <w:t>、柱体防腐性能：防撞柱阻挡主体应进行防锈处理，符合GA/T 1343-2016行业标准，升降地柱柱体耐腐蚀等级应≥7级；</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3、防撞柱柱体和顶盖采用304不锈钢，表面无明显变形和划痕，无锈迹；</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4</w:t>
            </w:r>
            <w:r>
              <w:rPr>
                <w:rFonts w:hint="eastAsia" w:cs="微软雅黑" w:asciiTheme="minorHAnsi" w:hAnsiTheme="minorHAnsi" w:eastAsiaTheme="minorHAnsi"/>
                <w:color w:val="000000" w:themeColor="text1"/>
                <w:kern w:val="0"/>
                <w:sz w:val="18"/>
                <w:szCs w:val="18"/>
                <w14:textFill>
                  <w14:solidFill>
                    <w14:schemeClr w14:val="tx1"/>
                  </w14:solidFill>
                </w14:textFill>
              </w:rPr>
              <w:t>、电控箱箱材质：为SUS304不锈钢、喷塑或烤漆（可选）；</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5</w:t>
            </w:r>
            <w:r>
              <w:rPr>
                <w:rFonts w:hint="eastAsia" w:cs="微软雅黑" w:asciiTheme="minorHAnsi" w:hAnsiTheme="minorHAnsi" w:eastAsiaTheme="minorHAnsi"/>
                <w:color w:val="000000" w:themeColor="text1"/>
                <w:kern w:val="0"/>
                <w:sz w:val="18"/>
                <w:szCs w:val="18"/>
                <w14:textFill>
                  <w14:solidFill>
                    <w14:schemeClr w14:val="tx1"/>
                  </w14:solidFill>
                </w14:textFill>
              </w:rPr>
              <w:t>、隔离护圈：运动柱体与地埋柱体之间应设置非金属材质的隔离护圈，以避免地面面板刮花运动柱体。</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、电控制系统安全性：</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.1、抗电强度应符合GB 16796-2009中5.4.3的规定；</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.2、绝缘电阻应符合GB 16796-2009中5.4.4的规定；</w:t>
            </w:r>
          </w:p>
          <w:p>
            <w:pPr>
              <w:widowControl/>
              <w:spacing w:line="240" w:lineRule="auto"/>
              <w:jc w:val="left"/>
              <w:rPr>
                <w:rFonts w:hint="eastAsia" w:asciiTheme="minorEastAsia" w:hAnsiTheme="minorEastAsia" w:eastAsiaTheme="minorEastAsia" w:cstheme="minorEastAsia"/>
                <w:bCs/>
                <w:kern w:val="2"/>
                <w:sz w:val="21"/>
                <w:szCs w:val="21"/>
                <w:highlight w:val="none"/>
                <w:lang w:val="en-US" w:eastAsia="zh-CN" w:bidi="ar-SA"/>
              </w:rPr>
            </w:pP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.3、泄露电流应符合GB 167·96-2009中5.4.6的规定；</w:t>
            </w:r>
          </w:p>
        </w:tc>
        <w:tc>
          <w:tcPr>
            <w:tcW w:w="868" w:type="dxa"/>
            <w:vMerge w:val="continue"/>
            <w:vAlign w:val="center"/>
          </w:tcPr>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445"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eastAsia="宋体"/>
                <w:lang w:val="en-US" w:eastAsia="zh-CN"/>
              </w:rPr>
            </w:pPr>
            <w:r>
              <w:rPr>
                <w:rFonts w:hint="eastAsia"/>
                <w:lang w:val="en-US" w:eastAsia="zh-CN"/>
              </w:rPr>
              <w:t>2</w:t>
            </w:r>
          </w:p>
        </w:tc>
        <w:tc>
          <w:tcPr>
            <w:tcW w:w="1110" w:type="dxa"/>
            <w:vAlign w:val="center"/>
          </w:tcPr>
          <w:p>
            <w:pPr>
              <w:keepNext w:val="0"/>
              <w:keepLines w:val="0"/>
              <w:widowControl/>
              <w:suppressLineNumbers w:val="0"/>
              <w:jc w:val="center"/>
              <w:textAlignment w:val="center"/>
              <w:rPr>
                <w:rFonts w:hint="eastAsia" w:ascii="微软雅黑" w:hAnsi="微软雅黑" w:eastAsia="微软雅黑" w:cs="微软雅黑"/>
                <w:color w:val="000000" w:themeColor="text1"/>
                <w:kern w:val="0"/>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14:textFill>
                  <w14:solidFill>
                    <w14:schemeClr w14:val="tx1"/>
                  </w14:solidFill>
                </w14:textFill>
              </w:rPr>
              <w:t>防爆升降式阻车路障</w:t>
            </w:r>
            <w:r>
              <w:rPr>
                <w:rFonts w:hint="eastAsia" w:ascii="微软雅黑" w:hAnsi="微软雅黑" w:eastAsia="微软雅黑" w:cs="微软雅黑"/>
                <w:color w:val="000000" w:themeColor="text1"/>
                <w:kern w:val="0"/>
                <w:sz w:val="16"/>
                <w:szCs w:val="16"/>
                <w:lang w:val="en-US" w:eastAsia="zh-CN"/>
                <w14:textFill>
                  <w14:solidFill>
                    <w14:schemeClr w14:val="tx1"/>
                  </w14:solidFill>
                </w14:textFill>
              </w:rPr>
              <w:t>控制系统</w:t>
            </w:r>
          </w:p>
        </w:tc>
        <w:tc>
          <w:tcPr>
            <w:tcW w:w="1087" w:type="dxa"/>
            <w:vAlign w:val="center"/>
          </w:tcPr>
          <w:p>
            <w:pPr>
              <w:spacing w:line="320" w:lineRule="exact"/>
              <w:jc w:val="center"/>
              <w:rPr>
                <w:rFonts w:hint="eastAsia" w:ascii="微软雅黑" w:hAnsi="微软雅黑" w:eastAsia="微软雅黑" w:cs="微软雅黑"/>
                <w:color w:val="000000" w:themeColor="text1"/>
                <w:kern w:val="0"/>
                <w:sz w:val="15"/>
                <w:szCs w:val="15"/>
                <w14:textFill>
                  <w14:solidFill>
                    <w14:schemeClr w14:val="tx1"/>
                  </w14:solidFill>
                </w14:textFill>
              </w:rPr>
            </w:pPr>
            <w:r>
              <w:rPr>
                <w:rFonts w:hint="eastAsia" w:ascii="微软雅黑" w:hAnsi="微软雅黑" w:eastAsia="微软雅黑" w:cs="微软雅黑"/>
                <w:color w:val="000000" w:themeColor="text1"/>
                <w:kern w:val="0"/>
                <w:sz w:val="15"/>
                <w:szCs w:val="15"/>
                <w14:textFill>
                  <w14:solidFill>
                    <w14:schemeClr w14:val="tx1"/>
                  </w14:solidFill>
                </w14:textFill>
              </w:rPr>
              <w:t>控制系统功能要求、以及产品智能化要求</w:t>
            </w:r>
          </w:p>
        </w:tc>
        <w:tc>
          <w:tcPr>
            <w:tcW w:w="5729" w:type="dxa"/>
            <w:vAlign w:val="center"/>
          </w:tcPr>
          <w:p>
            <w:pPr>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asciiTheme="minorHAnsi" w:hAnsiTheme="minorHAnsi" w:eastAsiaTheme="minorHAnsi"/>
                <w:kern w:val="0"/>
                <w:sz w:val="18"/>
                <w:szCs w:val="18"/>
              </w:rPr>
              <w:t>1、</w:t>
            </w:r>
            <w:r>
              <w:rPr>
                <w:rFonts w:hint="eastAsia" w:cs="微软雅黑" w:asciiTheme="minorHAnsi" w:hAnsiTheme="minorHAnsi" w:eastAsiaTheme="minorHAnsi"/>
                <w:color w:val="000000" w:themeColor="text1"/>
                <w:kern w:val="0"/>
                <w:sz w:val="18"/>
                <w:szCs w:val="18"/>
                <w14:textFill>
                  <w14:solidFill>
                    <w14:schemeClr w14:val="tx1"/>
                  </w14:solidFill>
                </w14:textFill>
              </w:rPr>
              <w:t>应采用单片机控制，便于系统联动，如：声光报警、车牌识别、道闸、门禁、蓝牙、红外、监控、红绿灯、潮汐车道、人脸识别等系统联动（需提供带有“CNAS”和“CMA”标志的检测报告）；</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asciiTheme="minorHAnsi" w:hAnsiTheme="minorHAnsi" w:eastAsiaTheme="minorHAnsi"/>
                <w:kern w:val="0"/>
                <w:sz w:val="18"/>
                <w:szCs w:val="18"/>
              </w:rPr>
              <w:t>▲</w:t>
            </w:r>
            <w:r>
              <w:rPr>
                <w:rFonts w:cs="微软雅黑" w:asciiTheme="minorHAnsi" w:hAnsiTheme="minorHAnsi" w:eastAsiaTheme="minorHAnsi"/>
                <w:color w:val="000000" w:themeColor="text1"/>
                <w:kern w:val="0"/>
                <w:sz w:val="18"/>
                <w:szCs w:val="18"/>
                <w14:textFill>
                  <w14:solidFill>
                    <w14:schemeClr w14:val="tx1"/>
                  </w14:solidFill>
                </w14:textFill>
              </w:rPr>
              <w:t>2</w:t>
            </w:r>
            <w:r>
              <w:rPr>
                <w:rFonts w:hint="eastAsia" w:cs="微软雅黑" w:asciiTheme="minorHAnsi" w:hAnsiTheme="minorHAnsi" w:eastAsiaTheme="minorHAnsi"/>
                <w:color w:val="000000" w:themeColor="text1"/>
                <w:kern w:val="0"/>
                <w:sz w:val="18"/>
                <w:szCs w:val="18"/>
                <w14:textFill>
                  <w14:solidFill>
                    <w14:schemeClr w14:val="tx1"/>
                  </w14:solidFill>
                </w14:textFill>
              </w:rPr>
              <w:t>、控制方式：遥控装置、线控装置、远程装置；无线遥控方式对进行升、降、停控制时有效距离大于等于100米（空旷无干扰）；</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hint="eastAsia" w:cs="微软雅黑" w:asciiTheme="minorHAnsi" w:hAnsiTheme="minorHAnsi" w:eastAsiaTheme="minorHAnsi"/>
                <w:color w:val="000000" w:themeColor="text1"/>
                <w:kern w:val="0"/>
                <w:sz w:val="18"/>
                <w:szCs w:val="18"/>
                <w14:textFill>
                  <w14:solidFill>
                    <w14:schemeClr w14:val="tx1"/>
                  </w14:solidFill>
                </w14:textFill>
              </w:rPr>
              <w:t>3、防护等级：电控箱防护等级IP54，可防液体泼溅，能够在室外环境安装；</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4</w:t>
            </w:r>
            <w:r>
              <w:rPr>
                <w:rFonts w:hint="eastAsia" w:cs="微软雅黑" w:asciiTheme="minorHAnsi" w:hAnsiTheme="minorHAnsi" w:eastAsiaTheme="minorHAnsi"/>
                <w:color w:val="000000" w:themeColor="text1"/>
                <w:kern w:val="0"/>
                <w:sz w:val="18"/>
                <w:szCs w:val="18"/>
                <w14:textFill>
                  <w14:solidFill>
                    <w14:schemeClr w14:val="tx1"/>
                  </w14:solidFill>
                </w14:textFill>
              </w:rPr>
              <w:t>、电控箱系统可扩展加装防雷器，加装后应起到防雷作用；</w:t>
            </w:r>
          </w:p>
          <w:p>
            <w:pPr>
              <w:widowControl/>
              <w:spacing w:line="240" w:lineRule="auto"/>
              <w:jc w:val="left"/>
              <w:rPr>
                <w:rFonts w:cs="微软雅黑" w:asciiTheme="minorHAnsi" w:hAnsiTheme="minorHAnsi" w:eastAsiaTheme="minorHAnsi"/>
                <w:color w:val="000000" w:themeColor="text1"/>
                <w:kern w:val="0"/>
                <w:sz w:val="18"/>
                <w:szCs w:val="18"/>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5</w:t>
            </w:r>
            <w:r>
              <w:rPr>
                <w:rFonts w:hint="eastAsia" w:cs="微软雅黑" w:asciiTheme="minorHAnsi" w:hAnsiTheme="minorHAnsi" w:eastAsiaTheme="minorHAnsi"/>
                <w:color w:val="000000" w:themeColor="text1"/>
                <w:kern w:val="0"/>
                <w:sz w:val="18"/>
                <w:szCs w:val="18"/>
                <w14:textFill>
                  <w14:solidFill>
                    <w14:schemeClr w14:val="tx1"/>
                  </w14:solidFill>
                </w14:textFill>
              </w:rPr>
              <w:t>、控制系统外壳防护等级需达到IP66；</w:t>
            </w:r>
          </w:p>
          <w:p>
            <w:pPr>
              <w:widowControl/>
              <w:spacing w:line="240" w:lineRule="auto"/>
              <w:jc w:val="left"/>
              <w:rPr>
                <w:rFonts w:hint="eastAsia" w:ascii="微软雅黑" w:hAnsi="微软雅黑" w:eastAsia="微软雅黑" w:cs="微软雅黑"/>
                <w:color w:val="000000" w:themeColor="text1"/>
                <w:kern w:val="0"/>
                <w:sz w:val="16"/>
                <w:szCs w:val="16"/>
                <w14:textFill>
                  <w14:solidFill>
                    <w14:schemeClr w14:val="tx1"/>
                  </w14:solidFill>
                </w14:textFill>
              </w:rPr>
            </w:pPr>
            <w:r>
              <w:rPr>
                <w:rFonts w:cs="微软雅黑" w:asciiTheme="minorHAnsi" w:hAnsiTheme="minorHAnsi" w:eastAsiaTheme="minorHAnsi"/>
                <w:color w:val="000000" w:themeColor="text1"/>
                <w:kern w:val="0"/>
                <w:sz w:val="18"/>
                <w:szCs w:val="18"/>
                <w14:textFill>
                  <w14:solidFill>
                    <w14:schemeClr w14:val="tx1"/>
                  </w14:solidFill>
                </w14:textFill>
              </w:rPr>
              <w:t>6</w:t>
            </w:r>
            <w:r>
              <w:rPr>
                <w:rFonts w:hint="eastAsia" w:cs="微软雅黑" w:asciiTheme="minorHAnsi" w:hAnsiTheme="minorHAnsi" w:eastAsiaTheme="minorHAnsi"/>
                <w:color w:val="000000" w:themeColor="text1"/>
                <w:kern w:val="0"/>
                <w:sz w:val="18"/>
                <w:szCs w:val="18"/>
                <w14:textFill>
                  <w14:solidFill>
                    <w14:schemeClr w14:val="tx1"/>
                  </w14:solidFill>
                </w14:textFill>
              </w:rPr>
              <w:t>、时间控制功能：控制系统可自由设置路障上升或下降时间，确保路障完全到位（需提供带有“CNAS”和“CMA”标志的检测报告佐证）；</w:t>
            </w:r>
          </w:p>
        </w:tc>
        <w:tc>
          <w:tcPr>
            <w:tcW w:w="868" w:type="dxa"/>
            <w:vMerge w:val="continue"/>
            <w:vAlign w:val="center"/>
          </w:tcPr>
          <w:p>
            <w:pPr>
              <w:widowControl/>
              <w:spacing w:line="320" w:lineRule="exact"/>
              <w:jc w:val="left"/>
              <w:rPr>
                <w:rFonts w:cs="微软雅黑" w:asciiTheme="minorHAnsi" w:hAnsiTheme="minorHAnsi" w:eastAsiaTheme="minorHAnsi"/>
                <w:color w:val="000000" w:themeColor="text1"/>
                <w:kern w:val="0"/>
                <w:sz w:val="18"/>
                <w:szCs w:val="18"/>
                <w14:textFill>
                  <w14:solidFill>
                    <w14:schemeClr w14:val="tx1"/>
                  </w14:solidFill>
                </w14:textFill>
              </w:rPr>
            </w:pPr>
          </w:p>
        </w:tc>
      </w:tr>
    </w:tbl>
    <w:p>
      <w:pPr>
        <w:rPr>
          <w:rFonts w:hint="eastAsia" w:cs="宋体"/>
          <w:szCs w:val="28"/>
          <w:lang w:val="en-US" w:eastAsia="zh-CN"/>
        </w:rPr>
      </w:pPr>
      <w:r>
        <w:rPr>
          <w:rFonts w:hint="eastAsia" w:cs="宋体"/>
          <w:szCs w:val="28"/>
          <w:lang w:val="en-US" w:eastAsia="zh-CN"/>
        </w:rPr>
        <w:br w:type="page"/>
      </w:r>
    </w:p>
    <w:p>
      <w:pPr>
        <w:pStyle w:val="7"/>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jc w:val="center"/>
        <w:rPr>
          <w:rFonts w:hint="eastAsia" w:ascii="宋体" w:hAnsi="宋体" w:eastAsia="宋体" w:cs="宋体"/>
          <w:b/>
          <w:bCs/>
          <w:sz w:val="44"/>
          <w:szCs w:val="44"/>
        </w:rPr>
      </w:pPr>
      <w:bookmarkStart w:id="28" w:name="bt投标书"/>
      <w:bookmarkEnd w:id="28"/>
      <w:bookmarkStart w:id="29" w:name="bt附件"/>
      <w:bookmarkEnd w:id="29"/>
    </w:p>
    <w:p>
      <w:pPr>
        <w:rPr>
          <w:rFonts w:hint="eastAsia"/>
        </w:rPr>
      </w:pPr>
      <w:r>
        <w:rPr>
          <w:rFonts w:hint="eastAsia"/>
        </w:rPr>
        <w:br w:type="page"/>
      </w:r>
    </w:p>
    <w:p>
      <w:pPr>
        <w:rPr>
          <w:rFonts w:hint="eastAsia"/>
        </w:rPr>
      </w:pPr>
    </w:p>
    <w:p>
      <w:pPr>
        <w:pStyle w:val="4"/>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9"/>
        <w:ind w:left="0" w:leftChars="0" w:firstLine="0" w:firstLineChars="0"/>
        <w:rPr>
          <w:rFonts w:ascii="宋体" w:hAnsi="宋体"/>
          <w:szCs w:val="21"/>
        </w:rPr>
      </w:pPr>
    </w:p>
    <w:p>
      <w:pPr>
        <w:pStyle w:val="9"/>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5"/>
        <w:numPr>
          <w:ilvl w:val="0"/>
          <w:numId w:val="3"/>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5"/>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2"/>
        <w:ind w:firstLine="420" w:firstLineChars="200"/>
        <w:rPr>
          <w:rFonts w:ascii="宋体" w:hAnsi="宋体" w:cs="宋体"/>
          <w:b w:val="0"/>
          <w:sz w:val="21"/>
          <w:szCs w:val="21"/>
        </w:rPr>
      </w:pPr>
    </w:p>
    <w:p>
      <w:pPr>
        <w:pStyle w:val="2"/>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4"/>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5"/>
      <w:lvlText w:val=""/>
      <w:lvlJc w:val="left"/>
      <w:pPr>
        <w:tabs>
          <w:tab w:val="left" w:pos="360"/>
        </w:tabs>
        <w:ind w:left="360" w:hanging="360"/>
      </w:pPr>
      <w:rPr>
        <w:rFonts w:hint="default" w:ascii="Wingdings" w:hAnsi="Wingdings"/>
      </w:rPr>
    </w:lvl>
  </w:abstractNum>
  <w:abstractNum w:abstractNumId="2">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7355DE0"/>
    <w:rsid w:val="0C24200C"/>
    <w:rsid w:val="0CD85A3B"/>
    <w:rsid w:val="11416217"/>
    <w:rsid w:val="12DD1B28"/>
    <w:rsid w:val="12FE3950"/>
    <w:rsid w:val="15B13C57"/>
    <w:rsid w:val="16B304F0"/>
    <w:rsid w:val="187F2692"/>
    <w:rsid w:val="1BA51044"/>
    <w:rsid w:val="1BE978E3"/>
    <w:rsid w:val="1D5A45A1"/>
    <w:rsid w:val="20872C9F"/>
    <w:rsid w:val="216D7189"/>
    <w:rsid w:val="238E7743"/>
    <w:rsid w:val="239F050C"/>
    <w:rsid w:val="257E17F7"/>
    <w:rsid w:val="275663DD"/>
    <w:rsid w:val="278E5053"/>
    <w:rsid w:val="2BF92562"/>
    <w:rsid w:val="2DE024B6"/>
    <w:rsid w:val="2ED0393D"/>
    <w:rsid w:val="312C457E"/>
    <w:rsid w:val="32911927"/>
    <w:rsid w:val="33562ADE"/>
    <w:rsid w:val="33F52CFD"/>
    <w:rsid w:val="34B23808"/>
    <w:rsid w:val="384055D4"/>
    <w:rsid w:val="3F4113F9"/>
    <w:rsid w:val="40A404FA"/>
    <w:rsid w:val="425060F2"/>
    <w:rsid w:val="446D7398"/>
    <w:rsid w:val="45847BA5"/>
    <w:rsid w:val="46410D56"/>
    <w:rsid w:val="469E203D"/>
    <w:rsid w:val="49E80350"/>
    <w:rsid w:val="4BB43D8C"/>
    <w:rsid w:val="4C077C53"/>
    <w:rsid w:val="4DBA22C3"/>
    <w:rsid w:val="503B6A74"/>
    <w:rsid w:val="52423785"/>
    <w:rsid w:val="56077DC5"/>
    <w:rsid w:val="584840FA"/>
    <w:rsid w:val="59CA0571"/>
    <w:rsid w:val="5D6053E0"/>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6F7474"/>
    <w:rsid w:val="71FEDFB2"/>
    <w:rsid w:val="73210D6E"/>
    <w:rsid w:val="73B91B46"/>
    <w:rsid w:val="766746CB"/>
    <w:rsid w:val="76EC41F7"/>
    <w:rsid w:val="77664E62"/>
    <w:rsid w:val="786D46C7"/>
    <w:rsid w:val="78A10217"/>
    <w:rsid w:val="795A6BAA"/>
    <w:rsid w:val="79C07B41"/>
    <w:rsid w:val="7D1C1B00"/>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49"/>
    <w:qFormat/>
    <w:uiPriority w:val="0"/>
    <w:pPr>
      <w:spacing w:before="340" w:after="330" w:line="360" w:lineRule="auto"/>
      <w:jc w:val="center"/>
      <w:outlineLvl w:val="0"/>
    </w:pPr>
    <w:rPr>
      <w:kern w:val="44"/>
      <w:sz w:val="32"/>
      <w:szCs w:val="36"/>
    </w:rPr>
  </w:style>
  <w:style w:type="paragraph" w:styleId="7">
    <w:name w:val="heading 2"/>
    <w:basedOn w:val="5"/>
    <w:next w:val="6"/>
    <w:link w:val="50"/>
    <w:qFormat/>
    <w:uiPriority w:val="0"/>
    <w:pPr>
      <w:adjustRightInd w:val="0"/>
      <w:jc w:val="center"/>
      <w:textAlignment w:val="baseline"/>
      <w:outlineLvl w:val="1"/>
    </w:pPr>
    <w:rPr>
      <w:bCs w:val="0"/>
      <w:kern w:val="0"/>
      <w:szCs w:val="20"/>
    </w:rPr>
  </w:style>
  <w:style w:type="paragraph" w:styleId="5">
    <w:name w:val="heading 3"/>
    <w:basedOn w:val="6"/>
    <w:next w:val="1"/>
    <w:link w:val="48"/>
    <w:qFormat/>
    <w:uiPriority w:val="0"/>
    <w:pPr>
      <w:spacing w:before="260" w:after="260" w:line="240" w:lineRule="auto"/>
      <w:outlineLvl w:val="2"/>
    </w:pPr>
    <w:rPr>
      <w:rFonts w:ascii="宋体" w:hAnsi="宋体" w:eastAsia="宋体"/>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spacing w:before="280" w:after="290" w:line="376" w:lineRule="auto"/>
      <w:outlineLvl w:val="4"/>
    </w:pPr>
    <w:rPr>
      <w:b/>
      <w:sz w:val="28"/>
      <w:szCs w:val="20"/>
    </w:rPr>
  </w:style>
  <w:style w:type="paragraph" w:styleId="10">
    <w:name w:val="heading 6"/>
    <w:basedOn w:val="1"/>
    <w:next w:val="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spacing w:before="240" w:after="64" w:line="320" w:lineRule="auto"/>
      <w:outlineLvl w:val="6"/>
    </w:pPr>
    <w:rPr>
      <w:b/>
      <w:sz w:val="24"/>
      <w:szCs w:val="20"/>
    </w:rPr>
  </w:style>
  <w:style w:type="paragraph" w:styleId="12">
    <w:name w:val="heading 8"/>
    <w:basedOn w:val="1"/>
    <w:next w:val="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index 6"/>
    <w:basedOn w:val="1"/>
    <w:next w:val="1"/>
    <w:unhideWhenUsed/>
    <w:qFormat/>
    <w:uiPriority w:val="99"/>
    <w:pPr>
      <w:ind w:left="2100"/>
    </w:pPr>
    <w:rPr>
      <w:sz w:val="24"/>
    </w:rPr>
  </w:style>
  <w:style w:type="paragraph" w:styleId="9">
    <w:name w:val="Normal Indent"/>
    <w:basedOn w:val="1"/>
    <w:link w:val="51"/>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52"/>
    <w:semiHidden/>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qFormat/>
    <w:uiPriority w:val="0"/>
    <w:pPr>
      <w:spacing w:after="120"/>
    </w:pPr>
    <w:rPr>
      <w:sz w:val="16"/>
      <w:szCs w:val="16"/>
    </w:rPr>
  </w:style>
  <w:style w:type="paragraph" w:styleId="19">
    <w:name w:val="Body Text Indent"/>
    <w:basedOn w:val="1"/>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qFormat/>
    <w:uiPriority w:val="0"/>
    <w:rPr>
      <w:rFonts w:ascii="宋体" w:hAnsi="Courier New"/>
      <w:sz w:val="32"/>
      <w:szCs w:val="20"/>
    </w:rPr>
  </w:style>
  <w:style w:type="paragraph" w:styleId="25">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qFormat/>
    <w:uiPriority w:val="0"/>
    <w:pPr>
      <w:spacing w:line="360" w:lineRule="auto"/>
    </w:pPr>
    <w:rPr>
      <w:sz w:val="24"/>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qFormat/>
    <w:uiPriority w:val="0"/>
    <w:rPr>
      <w:sz w:val="24"/>
    </w:rPr>
  </w:style>
  <w:style w:type="paragraph" w:styleId="38">
    <w:name w:val="Title"/>
    <w:basedOn w:val="1"/>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7"/>
    <w:next w:val="17"/>
    <w:semiHidden/>
    <w:qFormat/>
    <w:uiPriority w:val="0"/>
    <w:pPr>
      <w:autoSpaceDE/>
      <w:autoSpaceDN/>
      <w:adjustRightInd/>
      <w:textAlignment w:val="auto"/>
    </w:pPr>
    <w:rPr>
      <w:rFonts w:ascii="Times New Roman"/>
      <w:b/>
      <w:bCs/>
      <w:kern w:val="2"/>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qFormat/>
    <w:uiPriority w:val="0"/>
  </w:style>
  <w:style w:type="character" w:styleId="44">
    <w:name w:val="FollowedHyperlink"/>
    <w:qFormat/>
    <w:uiPriority w:val="0"/>
    <w:rPr>
      <w:color w:val="800080"/>
      <w:u w:val="single"/>
    </w:rPr>
  </w:style>
  <w:style w:type="character" w:styleId="45">
    <w:name w:val="Hyperlink"/>
    <w:basedOn w:val="42"/>
    <w:qFormat/>
    <w:uiPriority w:val="0"/>
    <w:rPr>
      <w:color w:val="0000FF"/>
      <w:u w:val="single"/>
    </w:rPr>
  </w:style>
  <w:style w:type="character" w:styleId="46">
    <w:name w:val="annotation reference"/>
    <w:unhideWhenUsed/>
    <w:qFormat/>
    <w:uiPriority w:val="0"/>
    <w:rPr>
      <w:sz w:val="21"/>
      <w:szCs w:val="21"/>
    </w:rPr>
  </w:style>
  <w:style w:type="character" w:customStyle="1" w:styleId="47">
    <w:name w:val="标题 4 字符"/>
    <w:link w:val="6"/>
    <w:qFormat/>
    <w:uiPriority w:val="0"/>
    <w:rPr>
      <w:rFonts w:ascii="Arial" w:hAnsi="Arial" w:eastAsia="黑体"/>
      <w:b/>
      <w:bCs/>
      <w:kern w:val="2"/>
      <w:sz w:val="28"/>
      <w:szCs w:val="28"/>
      <w:lang w:val="en-US" w:eastAsia="zh-CN" w:bidi="ar-SA"/>
    </w:rPr>
  </w:style>
  <w:style w:type="character" w:customStyle="1" w:styleId="48">
    <w:name w:val="标题 3 字符"/>
    <w:link w:val="5"/>
    <w:qFormat/>
    <w:uiPriority w:val="0"/>
    <w:rPr>
      <w:rFonts w:ascii="宋体" w:hAnsi="宋体" w:eastAsia="宋体"/>
      <w:b/>
      <w:bCs/>
      <w:kern w:val="2"/>
      <w:sz w:val="28"/>
      <w:szCs w:val="32"/>
      <w:lang w:val="en-US" w:eastAsia="zh-CN" w:bidi="ar-SA"/>
    </w:rPr>
  </w:style>
  <w:style w:type="character" w:customStyle="1" w:styleId="49">
    <w:name w:val="标题 1 字符"/>
    <w:link w:val="4"/>
    <w:qFormat/>
    <w:uiPriority w:val="0"/>
    <w:rPr>
      <w:rFonts w:ascii="宋体" w:hAnsi="宋体" w:eastAsia="宋体"/>
      <w:b/>
      <w:bCs/>
      <w:kern w:val="44"/>
      <w:sz w:val="32"/>
      <w:szCs w:val="36"/>
      <w:lang w:val="en-US" w:eastAsia="zh-CN" w:bidi="ar-SA"/>
    </w:rPr>
  </w:style>
  <w:style w:type="character" w:customStyle="1" w:styleId="50">
    <w:name w:val="标题 2 字符"/>
    <w:link w:val="7"/>
    <w:qFormat/>
    <w:uiPriority w:val="0"/>
    <w:rPr>
      <w:rFonts w:ascii="宋体" w:hAnsi="宋体" w:eastAsia="宋体"/>
      <w:b/>
      <w:sz w:val="28"/>
      <w:lang w:val="en-US" w:eastAsia="zh-CN" w:bidi="ar-SA"/>
    </w:rPr>
  </w:style>
  <w:style w:type="character" w:customStyle="1" w:styleId="51">
    <w:name w:val="正文缩进 字符"/>
    <w:link w:val="9"/>
    <w:qFormat/>
    <w:uiPriority w:val="0"/>
    <w:rPr>
      <w:rFonts w:eastAsia="宋体"/>
      <w:kern w:val="2"/>
      <w:sz w:val="21"/>
      <w:lang w:val="en-US" w:eastAsia="zh-CN" w:bidi="ar-SA"/>
    </w:rPr>
  </w:style>
  <w:style w:type="character" w:customStyle="1" w:styleId="52">
    <w:name w:val="批注文字 字符"/>
    <w:link w:val="17"/>
    <w:semiHidden/>
    <w:qFormat/>
    <w:uiPriority w:val="0"/>
    <w:rPr>
      <w:rFonts w:ascii="宋体" w:eastAsia="宋体"/>
      <w:sz w:val="34"/>
      <w:lang w:val="en-US" w:eastAsia="zh-CN" w:bidi="ar-SA"/>
    </w:rPr>
  </w:style>
  <w:style w:type="character" w:customStyle="1" w:styleId="53">
    <w:name w:val="页眉 字符"/>
    <w:link w:val="28"/>
    <w:qFormat/>
    <w:uiPriority w:val="0"/>
    <w:rPr>
      <w:rFonts w:eastAsia="宋体"/>
      <w:kern w:val="2"/>
      <w:sz w:val="18"/>
      <w:szCs w:val="18"/>
      <w:lang w:val="en-US" w:eastAsia="zh-CN" w:bidi="ar-SA"/>
    </w:rPr>
  </w:style>
  <w:style w:type="character" w:customStyle="1" w:styleId="54">
    <w:name w:val="标题 3 Char"/>
    <w:qFormat/>
    <w:uiPriority w:val="0"/>
    <w:rPr>
      <w:rFonts w:ascii="黑体" w:eastAsia="黑体"/>
      <w:bCs/>
      <w:sz w:val="30"/>
    </w:rPr>
  </w:style>
  <w:style w:type="paragraph" w:customStyle="1" w:styleId="5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qFormat/>
    <w:uiPriority w:val="0"/>
    <w:pPr>
      <w:widowControl/>
      <w:spacing w:after="160" w:line="240" w:lineRule="exact"/>
      <w:jc w:val="left"/>
    </w:p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qFormat/>
    <w:uiPriority w:val="34"/>
    <w:pPr>
      <w:ind w:firstLine="420" w:firstLineChars="200"/>
    </w:pPr>
  </w:style>
  <w:style w:type="paragraph" w:customStyle="1" w:styleId="61">
    <w:name w:val="自定义正文"/>
    <w:basedOn w:val="1"/>
    <w:qFormat/>
    <w:uiPriority w:val="0"/>
    <w:pPr>
      <w:spacing w:after="50" w:afterLines="50"/>
      <w:ind w:left="600" w:leftChars="600"/>
    </w:pPr>
  </w:style>
  <w:style w:type="paragraph" w:customStyle="1" w:styleId="62">
    <w:name w:val="_Style 51"/>
    <w:basedOn w:val="1"/>
    <w:qFormat/>
    <w:uiPriority w:val="0"/>
    <w:pPr>
      <w:widowControl/>
      <w:spacing w:after="160" w:line="240" w:lineRule="exact"/>
      <w:jc w:val="left"/>
    </w:pPr>
  </w:style>
  <w:style w:type="paragraph" w:customStyle="1" w:styleId="63">
    <w:name w:val="Char Char"/>
    <w:basedOn w:val="1"/>
    <w:qFormat/>
    <w:uiPriority w:val="0"/>
    <w:rPr>
      <w:rFonts w:ascii="Tahoma" w:hAnsi="Tahoma"/>
      <w:sz w:val="24"/>
      <w:szCs w:val="20"/>
    </w:rPr>
  </w:style>
  <w:style w:type="paragraph" w:customStyle="1" w:styleId="6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qFormat/>
    <w:uiPriority w:val="0"/>
    <w:rPr>
      <w:rFonts w:ascii="Tahoma" w:hAnsi="Tahoma"/>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qFormat/>
    <w:uiPriority w:val="0"/>
    <w:pPr>
      <w:widowControl/>
      <w:spacing w:after="160" w:line="240" w:lineRule="exact"/>
      <w:jc w:val="left"/>
    </w:p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qFormat/>
    <w:uiPriority w:val="0"/>
    <w:rPr>
      <w:rFonts w:hint="eastAsia" w:ascii="宋体" w:hAnsi="宋体" w:eastAsia="宋体" w:cs="宋体"/>
      <w:color w:val="000000"/>
      <w:sz w:val="20"/>
      <w:szCs w:val="20"/>
      <w:u w:val="none"/>
    </w:rPr>
  </w:style>
  <w:style w:type="character" w:customStyle="1" w:styleId="74">
    <w:name w:val="font41"/>
    <w:basedOn w:val="42"/>
    <w:qFormat/>
    <w:uiPriority w:val="0"/>
    <w:rPr>
      <w:rFonts w:hint="eastAsia" w:ascii="宋体" w:hAnsi="宋体" w:eastAsia="宋体" w:cs="宋体"/>
      <w:color w:val="000000"/>
      <w:sz w:val="20"/>
      <w:szCs w:val="20"/>
      <w:u w:val="none"/>
    </w:rPr>
  </w:style>
  <w:style w:type="character" w:customStyle="1" w:styleId="75">
    <w:name w:val="font21"/>
    <w:basedOn w:val="42"/>
    <w:qFormat/>
    <w:uiPriority w:val="0"/>
    <w:rPr>
      <w:rFonts w:hint="eastAsia" w:ascii="宋体" w:hAnsi="宋体" w:eastAsia="宋体" w:cs="宋体"/>
      <w:color w:val="000000"/>
      <w:sz w:val="20"/>
      <w:szCs w:val="20"/>
      <w:u w:val="none"/>
    </w:rPr>
  </w:style>
  <w:style w:type="character" w:customStyle="1" w:styleId="76">
    <w:name w:val="font31"/>
    <w:basedOn w:val="42"/>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qFormat/>
    <w:uiPriority w:val="0"/>
    <w:rPr>
      <w:rFonts w:hint="eastAsia" w:ascii="宋体" w:hAnsi="宋体" w:eastAsia="宋体" w:cs="宋体"/>
      <w:color w:val="000000"/>
      <w:sz w:val="20"/>
      <w:szCs w:val="20"/>
      <w:u w:val="none"/>
    </w:rPr>
  </w:style>
  <w:style w:type="character" w:customStyle="1" w:styleId="78">
    <w:name w:val="font01"/>
    <w:basedOn w:val="42"/>
    <w:qFormat/>
    <w:uiPriority w:val="0"/>
    <w:rPr>
      <w:rFonts w:hint="eastAsia" w:ascii="宋体" w:hAnsi="宋体" w:eastAsia="宋体" w:cs="宋体"/>
      <w:color w:val="000000"/>
      <w:sz w:val="20"/>
      <w:szCs w:val="20"/>
      <w:u w:val="none"/>
    </w:rPr>
  </w:style>
  <w:style w:type="paragraph" w:styleId="7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9779</Words>
  <Characters>10226</Characters>
  <Lines>110</Lines>
  <Paragraphs>31</Paragraphs>
  <TotalTime>1</TotalTime>
  <ScaleCrop>false</ScaleCrop>
  <LinksUpToDate>false</LinksUpToDate>
  <CharactersWithSpaces>11585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2023-05-11T08:59:43Z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BB87CA5906FB4AC483E17446EA6854A3</vt:lpwstr>
  </property>
</Properties>
</file>