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光明部高考考点信号屏蔽终端</w:t>
      </w:r>
      <w:r>
        <w:rPr>
          <w:rFonts w:hint="eastAsia" w:ascii="华文中宋" w:hAnsi="华文中宋" w:eastAsia="华文中宋"/>
          <w:b/>
          <w:bCs/>
          <w:sz w:val="50"/>
          <w:szCs w:val="44"/>
        </w:rPr>
        <w:t>项目</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3021</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3021</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项目名称：  深圳实验学校</w:t>
      </w:r>
      <w:r>
        <w:rPr>
          <w:rFonts w:hint="eastAsia" w:ascii="宋体" w:hAnsi="宋体" w:cs="宋体"/>
          <w:szCs w:val="21"/>
          <w:lang w:val="en-US" w:eastAsia="zh-CN"/>
        </w:rPr>
        <w:t>光明部高考考点信号屏蔽终端项目</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45</w:t>
            </w:r>
            <w:r>
              <w:rPr>
                <w:rFonts w:hint="eastAsia" w:cs="宋体"/>
              </w:rPr>
              <w:t>分，带“</w:t>
            </w:r>
            <w:r>
              <w:rPr>
                <w:rFonts w:hint="eastAsia"/>
              </w:rPr>
              <w:t>▲</w:t>
            </w:r>
            <w:r>
              <w:rPr>
                <w:rFonts w:hint="eastAsia" w:cs="宋体"/>
              </w:rPr>
              <w:t>”指标，每负偏离一项扣</w:t>
            </w:r>
            <w:r>
              <w:rPr>
                <w:rFonts w:hint="eastAsia"/>
                <w:color w:val="FF0000"/>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5"/>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5"/>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5"/>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报价汇总表"/>
      <w:bookmarkEnd w:id="3"/>
      <w:bookmarkStart w:id="4" w:name="bt投标人须知"/>
      <w:bookmarkEnd w:id="4"/>
      <w:bookmarkStart w:id="5" w:name="bt投标函"/>
      <w:bookmarkEnd w:id="5"/>
      <w:bookmarkStart w:id="6" w:name="bt其他资料2"/>
      <w:bookmarkEnd w:id="6"/>
      <w:bookmarkStart w:id="7" w:name="bt商务标投标文件格式"/>
      <w:bookmarkEnd w:id="7"/>
      <w:bookmarkStart w:id="8" w:name="合同格式"/>
      <w:bookmarkEnd w:id="8"/>
      <w:bookmarkStart w:id="9" w:name="bt合同格式"/>
      <w:bookmarkEnd w:id="9"/>
      <w:bookmarkStart w:id="10" w:name="bt投标文件签署授权委托书"/>
      <w:bookmarkEnd w:id="10"/>
      <w:bookmarkStart w:id="11" w:name="bt本工程承诺书"/>
      <w:bookmarkEnd w:id="11"/>
      <w:bookmarkStart w:id="12" w:name="bt其他资料由投标人自定"/>
      <w:bookmarkEnd w:id="12"/>
      <w:bookmarkStart w:id="13" w:name="bt说明"/>
      <w:bookmarkEnd w:id="13"/>
      <w:bookmarkStart w:id="14" w:name="bt技术标投标文件格式"/>
      <w:bookmarkEnd w:id="14"/>
      <w:bookmarkStart w:id="15" w:name="bt合同条款"/>
      <w:bookmarkEnd w:id="15"/>
      <w:bookmarkStart w:id="16" w:name="bt合同条款及格式"/>
      <w:bookmarkEnd w:id="16"/>
      <w:bookmarkStart w:id="17" w:name="bt投标人情况介绍"/>
      <w:bookmarkEnd w:id="17"/>
      <w:bookmarkStart w:id="18" w:name="bt开标一览表"/>
      <w:bookmarkEnd w:id="18"/>
      <w:bookmarkStart w:id="19" w:name="bt项目管理班子配备情况"/>
      <w:bookmarkEnd w:id="19"/>
    </w:p>
    <w:p>
      <w:pPr>
        <w:pStyle w:val="4"/>
        <w:pageBreakBefore w:val="0"/>
        <w:kinsoku/>
        <w:wordWrap/>
        <w:overflowPunct/>
        <w:topLinePunct w:val="0"/>
        <w:autoSpaceDE/>
        <w:autoSpaceDN/>
        <w:bidi w:val="0"/>
        <w:snapToGrid/>
        <w:spacing w:line="320" w:lineRule="exact"/>
      </w:pPr>
      <w:r>
        <w:rPr>
          <w:rFonts w:hint="eastAsia"/>
        </w:rPr>
        <w:t>第二章  项目需求</w:t>
      </w: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73517639"/>
      <w:bookmarkStart w:id="22" w:name="_Toc101074876"/>
      <w:bookmarkStart w:id="23" w:name="_Toc60631620"/>
      <w:bookmarkStart w:id="24" w:name="_Toc73518117"/>
      <w:bookmarkStart w:id="25" w:name="_Toc60560625"/>
      <w:bookmarkStart w:id="26" w:name="_Toc100052364"/>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深圳实验学校光明部高考考点信号屏蔽终端项目</w:t>
      </w:r>
      <w:r>
        <w:rPr>
          <w:rFonts w:hint="eastAsia" w:ascii="宋体" w:hAnsi="宋体" w:cs="宋体"/>
          <w:szCs w:val="21"/>
        </w:rPr>
        <w:t>。</w:t>
      </w:r>
    </w:p>
    <w:p>
      <w:pPr>
        <w:pStyle w:val="2"/>
        <w:rPr>
          <w:rFonts w:hint="eastAsia" w:ascii="宋体" w:hAnsi="宋体" w:cs="宋体"/>
          <w:szCs w:val="21"/>
        </w:rPr>
      </w:pPr>
    </w:p>
    <w:p>
      <w:pPr>
        <w:pStyle w:val="3"/>
        <w:ind w:left="0" w:leftChars="0" w:firstLine="0" w:firstLineChars="0"/>
        <w:rPr>
          <w:rFonts w:hint="eastAsia"/>
        </w:rPr>
      </w:pPr>
    </w:p>
    <w:p>
      <w:pPr>
        <w:rPr>
          <w:rFonts w:hint="eastAsia"/>
        </w:rPr>
      </w:pPr>
    </w:p>
    <w:p>
      <w:pPr>
        <w:pStyle w:val="7"/>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
      <w:pPr>
        <w:pStyle w:val="2"/>
      </w:pPr>
    </w:p>
    <w:p>
      <w:pPr>
        <w:pStyle w:val="3"/>
        <w:ind w:left="0" w:leftChars="0" w:firstLine="0" w:firstLineChars="0"/>
      </w:pP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高科技屏蔽终端</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58000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网线</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r>
              <w:rPr>
                <w:rFonts w:hint="eastAsia" w:ascii="宋体" w:hAnsi="宋体" w:eastAsia="宋体" w:cs="宋体"/>
                <w:i w:val="0"/>
                <w:iCs w:val="0"/>
                <w:color w:val="000000"/>
                <w:kern w:val="0"/>
                <w:sz w:val="24"/>
                <w:szCs w:val="24"/>
                <w:u w:val="none"/>
                <w:lang w:val="en-US" w:eastAsia="zh-CN" w:bidi="ar"/>
              </w:rPr>
              <w:t>辅材</w:t>
            </w:r>
          </w:p>
        </w:tc>
        <w:tc>
          <w:tcPr>
            <w:tcW w:w="9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5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
      <w:pPr>
        <w:pStyle w:val="3"/>
        <w:ind w:left="0" w:leftChars="0" w:firstLine="0" w:firstLineChars="0"/>
      </w:pPr>
    </w:p>
    <w:p/>
    <w:p>
      <w:pPr>
        <w:pStyle w:val="7"/>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Pr>
        <w:pStyle w:val="2"/>
        <w:rPr>
          <w:rFonts w:hint="eastAsia" w:ascii="宋体" w:hAnsi="宋体" w:cs="宋体"/>
          <w:b/>
        </w:rPr>
      </w:pPr>
    </w:p>
    <w:p>
      <w:pPr>
        <w:pStyle w:val="3"/>
        <w:rPr>
          <w:rFonts w:hint="eastAsia"/>
        </w:rPr>
      </w:pPr>
    </w:p>
    <w:tbl>
      <w:tblPr>
        <w:tblStyle w:val="41"/>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25"/>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925"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货物名称</w:t>
            </w:r>
          </w:p>
        </w:tc>
        <w:tc>
          <w:tcPr>
            <w:tcW w:w="5729"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高科技屏蔽终端</w:t>
            </w:r>
          </w:p>
        </w:tc>
        <w:tc>
          <w:tcPr>
            <w:tcW w:w="5729" w:type="dxa"/>
            <w:vAlign w:val="top"/>
          </w:tcPr>
          <w:p>
            <w:pPr>
              <w:keepNext w:val="0"/>
              <w:keepLines w:val="0"/>
              <w:widowControl/>
              <w:suppressLineNumbers w:val="0"/>
              <w:jc w:val="left"/>
              <w:textAlignment w:val="top"/>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 阻断工作频率范围：30MHz-5850MHz；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手机信号屏蔽：能够屏蔽电信、移动、联通的2G/3G/4G/5G手机信号(视当地环境手机基站＞300米时，可有效屏蔽)；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蓝牙/WIFI信号屏蔽：能够屏蔽2400MHz-2483.5MHz（2.4G）蓝牙信号以及2400MHz-2483.5MHz（2.4G）、5725MHz-5850MHz（5.8G）WIFI信号；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批量升级：支持通过考点级管理平台对高科技屏蔽终端软件进行一键式集中批量升级；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考试计划：可根据考点级管理平台的考试计划，在考试计划时间开始时系统自动进入工作状态，考试计划时间结束时系统自动停止工作，提供考前、考中及考后自动工作模式，实现无人值守式管理；也可支持手动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温度监控：支持远程对设备的工作温度进行监控；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远程管理：支持通过考点级管理平台实现远程集中控制，可根据需要实现分组、单台设备的远程开关控制；可远程对工作模块进行开关控制；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状态上报：可向考点级管理平台上报设备工作状态、故障状态等信息；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 扩展机制：设备具备扩展模块插槽，通过扩展模块可对系统功能和性能进行扩展升级；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▲一体化设计：天线和电源内置，避免触电、烫伤等风险；（需要检测报告佐证）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▲状态显示：前面板有工作指示灯，可直观指示设备上电、模块开关、网络连通等状态；（需要检测报告佐证）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隐藏式接口设计：设备开关、电源接口、网络接口均采用隐蔽式设计，设备安装完成后可视表面无任何接口、开关，避免学生误动设备对系统造成影响；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数据接口：RJ-45接口，支持与考点级管理平台；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14. 可靠性：MTBF≥3000小时；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▲符合国家《电磁环境控制限值(GB8702-2014)》标准；（需要检测报告佐证）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▲符合国家《声环境质量标准（GB3096-2008）》中的零类标准。（需要检测报告佐证）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5729"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前端教室供电每点按10米左右计算（实际情况按工程具体情况计算）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3</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5729"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每点按50米左右计算（实际情况按工程具体情况计算）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4</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网线</w:t>
            </w:r>
          </w:p>
        </w:tc>
        <w:tc>
          <w:tcPr>
            <w:tcW w:w="5729"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每点按80米</w:t>
            </w:r>
            <w:bookmarkStart w:id="30" w:name="_GoBack"/>
            <w:bookmarkEnd w:id="30"/>
            <w:r>
              <w:rPr>
                <w:rFonts w:hint="eastAsia" w:ascii="仿宋" w:hAnsi="仿宋" w:eastAsia="仿宋" w:cs="仿宋"/>
                <w:i w:val="0"/>
                <w:iCs w:val="0"/>
                <w:color w:val="000000"/>
                <w:kern w:val="0"/>
                <w:sz w:val="20"/>
                <w:szCs w:val="20"/>
                <w:u w:val="none"/>
                <w:lang w:val="en-US" w:eastAsia="zh-CN" w:bidi="ar"/>
              </w:rPr>
              <w:t>左右计算（实际情况按工程具体情况计算）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5</w:t>
            </w:r>
          </w:p>
        </w:tc>
        <w:tc>
          <w:tcPr>
            <w:tcW w:w="1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安装辅材</w:t>
            </w:r>
          </w:p>
        </w:tc>
        <w:tc>
          <w:tcPr>
            <w:tcW w:w="5729"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符合国家有关技术规范，强电线、弱电线应分线槽铺设，强电线、电源插座等所供各种材料应符合国家标准，电源插座需有冗余，完成供电、各种设备的连接等。具体数量和人工以实际需要为准且中标后不得补充费用。</w:t>
            </w:r>
          </w:p>
        </w:tc>
      </w:tr>
    </w:tbl>
    <w:p>
      <w:pPr>
        <w:rPr>
          <w:rFonts w:hint="eastAsia" w:cs="宋体"/>
          <w:szCs w:val="28"/>
          <w:lang w:val="en-US" w:eastAsia="zh-CN"/>
        </w:rPr>
      </w:pPr>
      <w:r>
        <w:rPr>
          <w:rFonts w:hint="eastAsia" w:cs="宋体"/>
          <w:szCs w:val="28"/>
          <w:lang w:val="en-US" w:eastAsia="zh-CN"/>
        </w:rPr>
        <w:br w:type="page"/>
      </w:r>
    </w:p>
    <w:p>
      <w:pPr>
        <w:pStyle w:val="7"/>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10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4"/>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9"/>
        <w:ind w:left="0" w:leftChars="0" w:firstLine="0" w:firstLineChars="0"/>
        <w:rPr>
          <w:rFonts w:ascii="宋体" w:hAnsi="宋体"/>
          <w:szCs w:val="21"/>
        </w:rPr>
      </w:pPr>
    </w:p>
    <w:p>
      <w:pPr>
        <w:pStyle w:val="9"/>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r>
        <w:rPr>
          <w:rFonts w:hint="eastAsia" w:ascii="宋体" w:hAnsi="宋体" w:cs="宋体"/>
          <w:snapToGrid w:val="0"/>
          <w:kern w:val="0"/>
          <w:szCs w:val="22"/>
          <w:lang w:eastAsia="zh-CN"/>
        </w:rPr>
        <w:t>（</w:t>
      </w:r>
      <w:r>
        <w:rPr>
          <w:rFonts w:hint="eastAsia" w:ascii="宋体" w:hAnsi="宋体" w:cs="宋体"/>
          <w:snapToGrid w:val="0"/>
          <w:kern w:val="0"/>
          <w:szCs w:val="22"/>
          <w:lang w:val="en-US" w:eastAsia="zh-CN"/>
        </w:rPr>
        <w:t>报价需包含人工费、</w:t>
      </w:r>
      <w:r>
        <w:rPr>
          <w:rFonts w:hint="eastAsia" w:ascii="宋体" w:hAnsi="宋体" w:cs="宋体"/>
          <w:bCs/>
          <w:szCs w:val="21"/>
        </w:rPr>
        <w:t>设备运输、</w:t>
      </w:r>
      <w:r>
        <w:rPr>
          <w:rFonts w:hint="eastAsia" w:ascii="宋体" w:hAnsi="宋体" w:cs="宋体"/>
          <w:snapToGrid w:val="0"/>
          <w:kern w:val="0"/>
          <w:szCs w:val="22"/>
          <w:lang w:val="en-US" w:eastAsia="zh-CN"/>
        </w:rPr>
        <w:t>安装调试、场地清理、增值税等所有费用</w:t>
      </w:r>
      <w:r>
        <w:rPr>
          <w:rFonts w:hint="eastAsia" w:ascii="宋体" w:hAnsi="宋体" w:cs="宋体"/>
          <w:snapToGrid w:val="0"/>
          <w:kern w:val="0"/>
          <w:szCs w:val="22"/>
          <w:lang w:eastAsia="zh-CN"/>
        </w:rPr>
        <w:t>）</w:t>
      </w:r>
      <w:r>
        <w:rPr>
          <w:rFonts w:hint="eastAsia" w:ascii="宋体" w:hAnsi="宋体" w:cs="宋体"/>
          <w:snapToGrid w:val="0"/>
          <w:kern w:val="0"/>
          <w:szCs w:val="22"/>
        </w:rPr>
        <w:t>。</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5"/>
        <w:numPr>
          <w:ilvl w:val="0"/>
          <w:numId w:val="3"/>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7355DE0"/>
    <w:rsid w:val="0C24200C"/>
    <w:rsid w:val="0CD85A3B"/>
    <w:rsid w:val="11416217"/>
    <w:rsid w:val="12DD1B28"/>
    <w:rsid w:val="12FE3950"/>
    <w:rsid w:val="15B13C57"/>
    <w:rsid w:val="16B304F0"/>
    <w:rsid w:val="187F2692"/>
    <w:rsid w:val="1BA51044"/>
    <w:rsid w:val="1BE978E3"/>
    <w:rsid w:val="1D5A45A1"/>
    <w:rsid w:val="20872C9F"/>
    <w:rsid w:val="216D7189"/>
    <w:rsid w:val="238E7743"/>
    <w:rsid w:val="239F050C"/>
    <w:rsid w:val="257E17F7"/>
    <w:rsid w:val="26942835"/>
    <w:rsid w:val="275663DD"/>
    <w:rsid w:val="278E5053"/>
    <w:rsid w:val="2BF92562"/>
    <w:rsid w:val="2DE024B6"/>
    <w:rsid w:val="2ED0393D"/>
    <w:rsid w:val="312C457E"/>
    <w:rsid w:val="32911927"/>
    <w:rsid w:val="33562ADE"/>
    <w:rsid w:val="33F52CFD"/>
    <w:rsid w:val="34B23808"/>
    <w:rsid w:val="384055D4"/>
    <w:rsid w:val="3F4113F9"/>
    <w:rsid w:val="40A404FA"/>
    <w:rsid w:val="425060F2"/>
    <w:rsid w:val="446D7398"/>
    <w:rsid w:val="45847BA5"/>
    <w:rsid w:val="46410D56"/>
    <w:rsid w:val="469E203D"/>
    <w:rsid w:val="49E80350"/>
    <w:rsid w:val="4A7A25F0"/>
    <w:rsid w:val="4BB43D8C"/>
    <w:rsid w:val="4C077C53"/>
    <w:rsid w:val="4DBA22C3"/>
    <w:rsid w:val="503B6A74"/>
    <w:rsid w:val="52423785"/>
    <w:rsid w:val="56077DC5"/>
    <w:rsid w:val="584840FA"/>
    <w:rsid w:val="59CA0571"/>
    <w:rsid w:val="5D6053E0"/>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6F7474"/>
    <w:rsid w:val="71FEDFB2"/>
    <w:rsid w:val="73210D6E"/>
    <w:rsid w:val="73B91B46"/>
    <w:rsid w:val="745A5E47"/>
    <w:rsid w:val="766746CB"/>
    <w:rsid w:val="76EC41F7"/>
    <w:rsid w:val="77664E62"/>
    <w:rsid w:val="786D46C7"/>
    <w:rsid w:val="78A10217"/>
    <w:rsid w:val="795A6BAA"/>
    <w:rsid w:val="79C07B41"/>
    <w:rsid w:val="7D1C1B00"/>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index 6"/>
    <w:basedOn w:val="1"/>
    <w:next w:val="1"/>
    <w:unhideWhenUsed/>
    <w:qFormat/>
    <w:uiPriority w:val="99"/>
    <w:pPr>
      <w:ind w:left="2100"/>
    </w:pPr>
    <w:rPr>
      <w:sz w:val="24"/>
    </w:r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6"/>
    <w:qFormat/>
    <w:uiPriority w:val="0"/>
    <w:rPr>
      <w:rFonts w:ascii="Arial" w:hAnsi="Arial" w:eastAsia="黑体"/>
      <w:b/>
      <w:bCs/>
      <w:kern w:val="2"/>
      <w:sz w:val="28"/>
      <w:szCs w:val="28"/>
      <w:lang w:val="en-US" w:eastAsia="zh-CN" w:bidi="ar-SA"/>
    </w:rPr>
  </w:style>
  <w:style w:type="character" w:customStyle="1" w:styleId="48">
    <w:name w:val="标题 3 字符"/>
    <w:link w:val="5"/>
    <w:qFormat/>
    <w:uiPriority w:val="0"/>
    <w:rPr>
      <w:rFonts w:ascii="宋体" w:hAnsi="宋体" w:eastAsia="宋体"/>
      <w:b/>
      <w:bCs/>
      <w:kern w:val="2"/>
      <w:sz w:val="28"/>
      <w:szCs w:val="32"/>
      <w:lang w:val="en-US" w:eastAsia="zh-CN" w:bidi="ar-SA"/>
    </w:rPr>
  </w:style>
  <w:style w:type="character" w:customStyle="1" w:styleId="49">
    <w:name w:val="标题 1 字符"/>
    <w:link w:val="4"/>
    <w:qFormat/>
    <w:uiPriority w:val="0"/>
    <w:rPr>
      <w:rFonts w:ascii="宋体" w:hAnsi="宋体" w:eastAsia="宋体"/>
      <w:b/>
      <w:bCs/>
      <w:kern w:val="44"/>
      <w:sz w:val="32"/>
      <w:szCs w:val="36"/>
      <w:lang w:val="en-US" w:eastAsia="zh-CN" w:bidi="ar-SA"/>
    </w:rPr>
  </w:style>
  <w:style w:type="character" w:customStyle="1" w:styleId="50">
    <w:name w:val="标题 2 字符"/>
    <w:link w:val="7"/>
    <w:qFormat/>
    <w:uiPriority w:val="0"/>
    <w:rPr>
      <w:rFonts w:ascii="宋体" w:hAnsi="宋体" w:eastAsia="宋体"/>
      <w:b/>
      <w:sz w:val="28"/>
      <w:lang w:val="en-US" w:eastAsia="zh-CN" w:bidi="ar-SA"/>
    </w:rPr>
  </w:style>
  <w:style w:type="character" w:customStyle="1" w:styleId="51">
    <w:name w:val="正文缩进 字符"/>
    <w:link w:val="9"/>
    <w:qFormat/>
    <w:uiPriority w:val="0"/>
    <w:rPr>
      <w:rFonts w:eastAsia="宋体"/>
      <w:kern w:val="2"/>
      <w:sz w:val="21"/>
      <w:lang w:val="en-US" w:eastAsia="zh-CN" w:bidi="ar-SA"/>
    </w:rPr>
  </w:style>
  <w:style w:type="character" w:customStyle="1" w:styleId="52">
    <w:name w:val="批注文字 字符"/>
    <w:link w:val="17"/>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 w:type="paragraph" w:styleId="7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9651</Words>
  <Characters>10076</Characters>
  <Lines>110</Lines>
  <Paragraphs>31</Paragraphs>
  <TotalTime>0</TotalTime>
  <ScaleCrop>false</ScaleCrop>
  <LinksUpToDate>false</LinksUpToDate>
  <CharactersWithSpaces>11443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2023-05-12T09:38:15Z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BB87CA5906FB4AC483E17446EA6854A3</vt:lpwstr>
  </property>
</Properties>
</file>