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w:t>
      </w:r>
      <w:r>
        <w:rPr>
          <w:rFonts w:hint="eastAsia" w:ascii="华文中宋" w:hAnsi="华文中宋" w:eastAsia="华文中宋"/>
          <w:b/>
          <w:bCs/>
          <w:sz w:val="50"/>
          <w:szCs w:val="44"/>
          <w:lang w:val="en-US" w:eastAsia="zh-CN"/>
        </w:rPr>
        <w:t>光明</w:t>
      </w:r>
      <w:r>
        <w:rPr>
          <w:rFonts w:hint="eastAsia" w:ascii="华文中宋" w:hAnsi="华文中宋" w:eastAsia="华文中宋"/>
          <w:b/>
          <w:bCs/>
          <w:sz w:val="50"/>
          <w:szCs w:val="44"/>
        </w:rPr>
        <w:t>学校</w:t>
      </w:r>
      <w:r>
        <w:rPr>
          <w:rFonts w:hint="eastAsia" w:ascii="华文中宋" w:hAnsi="华文中宋" w:eastAsia="华文中宋"/>
          <w:b/>
          <w:bCs/>
          <w:sz w:val="50"/>
          <w:szCs w:val="44"/>
          <w:lang w:val="en-US" w:eastAsia="zh-CN"/>
        </w:rPr>
        <w:t>厨房隔油池改造</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3050</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3050</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w:t>
      </w:r>
      <w:r>
        <w:rPr>
          <w:rFonts w:hint="eastAsia" w:ascii="宋体" w:hAnsi="宋体" w:cs="宋体"/>
          <w:szCs w:val="21"/>
          <w:lang w:val="en-US" w:eastAsia="zh-CN"/>
        </w:rPr>
        <w:t>光明</w:t>
      </w:r>
      <w:r>
        <w:rPr>
          <w:rFonts w:hint="eastAsia" w:ascii="宋体" w:hAnsi="宋体" w:cs="宋体"/>
          <w:szCs w:val="21"/>
        </w:rPr>
        <w:t>学校</w:t>
      </w:r>
      <w:r>
        <w:rPr>
          <w:rFonts w:hint="eastAsia" w:ascii="宋体" w:hAnsi="宋体" w:cs="宋体"/>
          <w:szCs w:val="21"/>
          <w:lang w:val="en-US" w:eastAsia="zh-CN"/>
        </w:rPr>
        <w:t>厨房</w:t>
      </w:r>
      <w:bookmarkStart w:id="30" w:name="_GoBack"/>
      <w:bookmarkEnd w:id="30"/>
      <w:r>
        <w:rPr>
          <w:rFonts w:hint="eastAsia" w:ascii="宋体" w:hAnsi="宋体" w:cs="宋体"/>
          <w:szCs w:val="21"/>
          <w:lang w:val="en-US" w:eastAsia="zh-CN"/>
        </w:rPr>
        <w:t>隔油池改造项目</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hint="eastAsia" w:cs="宋体"/>
              </w:rPr>
            </w:pPr>
            <w:r>
              <w:rPr>
                <w:rFonts w:hint="eastAsia" w:cs="宋体"/>
              </w:rPr>
              <w:t>每提供1个同类业绩即得1分，满分5分。投标人必须在投标文件中提供每一个完工项目的合同关键页复印件，否则不得分。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hint="eastAsia" w:cs="宋体"/>
              </w:rPr>
            </w:pPr>
            <w:r>
              <w:rPr>
                <w:rFonts w:hint="eastAsia" w:cs="宋体"/>
              </w:rPr>
              <w:t>考察内容：投标人提供市级以上政府荣誉证书、业内权威认证证书扫描件（加盖投标人公章）。每提供1个得1分，最多3分.没有提供的不得分。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技术标投标文件格式"/>
      <w:bookmarkEnd w:id="3"/>
      <w:bookmarkStart w:id="4" w:name="bt投标人须知"/>
      <w:bookmarkEnd w:id="4"/>
      <w:bookmarkStart w:id="5" w:name="bt投标函"/>
      <w:bookmarkEnd w:id="5"/>
      <w:bookmarkStart w:id="6" w:name="bt合同条款及格式"/>
      <w:bookmarkEnd w:id="6"/>
      <w:bookmarkStart w:id="7" w:name="bt合同格式"/>
      <w:bookmarkEnd w:id="7"/>
      <w:bookmarkStart w:id="8" w:name="bt其他资料由投标人自定"/>
      <w:bookmarkEnd w:id="8"/>
      <w:bookmarkStart w:id="9" w:name="bt本工程承诺书"/>
      <w:bookmarkEnd w:id="9"/>
      <w:bookmarkStart w:id="10" w:name="bt其他资料2"/>
      <w:bookmarkEnd w:id="10"/>
      <w:bookmarkStart w:id="11" w:name="合同格式"/>
      <w:bookmarkEnd w:id="11"/>
      <w:bookmarkStart w:id="12" w:name="bt投标文件签署授权委托书"/>
      <w:bookmarkEnd w:id="12"/>
      <w:bookmarkStart w:id="13" w:name="bt投标报价汇总表"/>
      <w:bookmarkEnd w:id="13"/>
      <w:bookmarkStart w:id="14" w:name="bt说明"/>
      <w:bookmarkEnd w:id="14"/>
      <w:bookmarkStart w:id="15" w:name="bt项目管理班子配备情况"/>
      <w:bookmarkEnd w:id="15"/>
      <w:bookmarkStart w:id="16" w:name="bt投标人情况介绍"/>
      <w:bookmarkEnd w:id="16"/>
      <w:bookmarkStart w:id="17" w:name="bt开标一览表"/>
      <w:bookmarkEnd w:id="17"/>
      <w:bookmarkStart w:id="18" w:name="bt合同条款"/>
      <w:bookmarkEnd w:id="18"/>
      <w:bookmarkStart w:id="19" w:name="bt商务标投标文件格式"/>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100052364"/>
      <w:bookmarkStart w:id="21" w:name="_Toc73517639"/>
      <w:bookmarkStart w:id="22" w:name="_Toc60560625"/>
      <w:bookmarkStart w:id="23" w:name="_Toc73521635"/>
      <w:bookmarkStart w:id="24" w:name="_Toc73518117"/>
      <w:bookmarkStart w:id="25" w:name="_Toc73521547"/>
      <w:bookmarkStart w:id="26" w:name="_Toc60631620"/>
      <w:bookmarkStart w:id="27" w:name="_Toc101074876"/>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深圳实验光明学校食堂隔油池改造项目</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spacing w:line="360" w:lineRule="auto"/>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spacing w:line="360" w:lineRule="auto"/>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37"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default" w:cs="宋体" w:asciiTheme="minorEastAsia" w:hAnsiTheme="minorEastAsia" w:eastAsiaTheme="minorEastAsia"/>
                <w:kern w:val="0"/>
                <w:szCs w:val="21"/>
                <w:lang w:val="en-US" w:eastAsia="zh-CN" w:bidi="ar"/>
              </w:rPr>
              <w:t>前置提升箱</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90000</w:t>
            </w: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default" w:cs="宋体" w:asciiTheme="minorEastAsia" w:hAnsiTheme="minorEastAsia" w:eastAsiaTheme="minorEastAsia"/>
                <w:kern w:val="0"/>
                <w:szCs w:val="21"/>
                <w:lang w:val="en-US" w:eastAsia="zh-CN" w:bidi="ar"/>
              </w:rPr>
              <w:t>一体化提升隔油池</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default" w:cs="宋体" w:asciiTheme="minorEastAsia" w:hAnsiTheme="minorEastAsia" w:eastAsiaTheme="minorEastAsia"/>
                <w:kern w:val="0"/>
                <w:szCs w:val="21"/>
                <w:lang w:val="en-US" w:eastAsia="zh-CN" w:bidi="ar"/>
              </w:rPr>
              <w:t>设备支架</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4</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进水管</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5</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出水管</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溢流排空管</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电线电缆</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8</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五金杂件</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9</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旧设备拆除</w:t>
            </w:r>
          </w:p>
        </w:tc>
        <w:tc>
          <w:tcPr>
            <w:tcW w:w="937"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keepNext w:val="0"/>
              <w:keepLines w:val="0"/>
              <w:widowControl/>
              <w:suppressLineNumbers w:val="0"/>
              <w:jc w:val="center"/>
              <w:textAlignment w:val="center"/>
              <w:rPr>
                <w:rFonts w:hint="default"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垃圾清运、搬运</w:t>
            </w:r>
          </w:p>
        </w:tc>
        <w:tc>
          <w:tcPr>
            <w:tcW w:w="937"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bl>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62"/>
        <w:gridCol w:w="52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96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27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141"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default" w:cs="宋体" w:asciiTheme="minorEastAsia" w:hAnsiTheme="minorEastAsia" w:eastAsiaTheme="minorEastAsia"/>
                <w:kern w:val="0"/>
                <w:szCs w:val="21"/>
                <w:lang w:val="en-US" w:eastAsia="zh-CN" w:bidi="ar"/>
              </w:rPr>
              <w:t>前置提升箱</w:t>
            </w:r>
          </w:p>
        </w:tc>
        <w:tc>
          <w:tcPr>
            <w:tcW w:w="5275" w:type="dxa"/>
            <w:vAlign w:val="center"/>
          </w:tcPr>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1.不锈钢 304SS 材质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尺寸1350mm×800mm×1000mm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.功率：6kW</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流量：25立方/小时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.双泵提升（一用一备，单泵功率：3kW）</w:t>
            </w:r>
          </w:p>
        </w:tc>
        <w:tc>
          <w:tcPr>
            <w:tcW w:w="1141" w:type="dxa"/>
            <w:vAlign w:val="center"/>
          </w:tcPr>
          <w:p>
            <w:pPr>
              <w:widowControl/>
              <w:jc w:val="left"/>
              <w:textAlignment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21" w:type="dxa"/>
            <w:vAlign w:val="center"/>
          </w:tcPr>
          <w:p>
            <w:pPr>
              <w:keepNext w:val="0"/>
              <w:keepLines w:val="0"/>
              <w:widowControl/>
              <w:suppressLineNumbers w:val="0"/>
              <w:jc w:val="center"/>
              <w:textAlignment w:val="center"/>
              <w:rPr>
                <w:rFonts w:hint="eastAsia" w:eastAsia="宋体"/>
                <w:lang w:val="en-US" w:eastAsia="zh-CN"/>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default" w:cs="宋体" w:asciiTheme="minorEastAsia" w:hAnsiTheme="minorEastAsia" w:eastAsiaTheme="minorEastAsia"/>
                <w:kern w:val="0"/>
                <w:szCs w:val="21"/>
                <w:lang w:val="en-US" w:eastAsia="zh-CN" w:bidi="ar"/>
              </w:rPr>
              <w:t>一体化提升隔油池</w:t>
            </w:r>
          </w:p>
        </w:tc>
        <w:tc>
          <w:tcPr>
            <w:tcW w:w="5275" w:type="dxa"/>
            <w:vAlign w:val="center"/>
          </w:tcPr>
          <w:p>
            <w:pPr>
              <w:keepNext w:val="0"/>
              <w:keepLines w:val="0"/>
              <w:widowControl/>
              <w:numPr>
                <w:ilvl w:val="0"/>
                <w:numId w:val="3"/>
              </w:numPr>
              <w:suppressLineNumbers w:val="0"/>
              <w:jc w:val="left"/>
              <w:textAlignment w:val="center"/>
              <w:rPr>
                <w:rFonts w:hint="eastAsia"/>
                <w:lang w:val="en-US" w:eastAsia="zh-CN"/>
              </w:rPr>
            </w:pPr>
            <w:r>
              <w:rPr>
                <w:rFonts w:hint="eastAsia"/>
                <w:lang w:val="en-US" w:eastAsia="zh-CN"/>
              </w:rPr>
              <w:t>不锈钢 304SS 材质，模块化结构设计，设备焊接部位酸洗钝化防腐蚀；</w:t>
            </w:r>
          </w:p>
          <w:p>
            <w:pPr>
              <w:keepNext w:val="0"/>
              <w:keepLines w:val="0"/>
              <w:widowControl/>
              <w:numPr>
                <w:ilvl w:val="0"/>
                <w:numId w:val="3"/>
              </w:numPr>
              <w:suppressLineNumbers w:val="0"/>
              <w:jc w:val="left"/>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尺寸2350mm×1100mm×1500mm</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
              </w:numPr>
              <w:suppressLineNumbers w:val="0"/>
              <w:jc w:val="left"/>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功率：8.5kW</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流量：25立方/小时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双泵提升（一用一备</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
              </w:numPr>
              <w:suppressLineNumbers w:val="0"/>
              <w:jc w:val="left"/>
              <w:textAlignment w:val="center"/>
              <w:rPr>
                <w:rFonts w:hint="eastAsia"/>
                <w:lang w:val="en-US" w:eastAsia="zh-CN"/>
              </w:rPr>
            </w:pPr>
            <w:r>
              <w:rPr>
                <w:rFonts w:hint="eastAsia"/>
                <w:lang w:val="en-US" w:eastAsia="zh-CN"/>
              </w:rPr>
              <w:t>自动除渣有效过滤≥5mm 残渣，油脂分离更彻底，效率更高;恒温电加热功能，确保油脂不凝结、不结块</w:t>
            </w:r>
          </w:p>
          <w:p>
            <w:pPr>
              <w:keepNext w:val="0"/>
              <w:keepLines w:val="0"/>
              <w:widowControl/>
              <w:numPr>
                <w:ilvl w:val="0"/>
                <w:numId w:val="3"/>
              </w:numPr>
              <w:suppressLineNumbers w:val="0"/>
              <w:jc w:val="left"/>
              <w:textAlignment w:val="center"/>
              <w:rPr>
                <w:rFonts w:hint="eastAsia" w:ascii="宋体" w:hAnsi="宋体" w:eastAsia="宋体" w:cs="宋体"/>
                <w:kern w:val="2"/>
                <w:sz w:val="21"/>
                <w:szCs w:val="21"/>
                <w:lang w:val="en-US" w:eastAsia="zh-CN" w:bidi="ar-SA"/>
              </w:rPr>
            </w:pPr>
            <w:r>
              <w:rPr>
                <w:rFonts w:hint="eastAsia"/>
                <w:lang w:val="en-US" w:eastAsia="zh-CN"/>
              </w:rPr>
              <w:t>设备可配置自动排油功能+手动排油两路排油系统；</w:t>
            </w:r>
          </w:p>
          <w:p>
            <w:pPr>
              <w:keepNext w:val="0"/>
              <w:keepLines w:val="0"/>
              <w:widowControl/>
              <w:numPr>
                <w:ilvl w:val="0"/>
                <w:numId w:val="3"/>
              </w:numPr>
              <w:suppressLineNumbers w:val="0"/>
              <w:jc w:val="left"/>
              <w:textAlignment w:val="center"/>
              <w:rPr>
                <w:rFonts w:hint="eastAsia" w:ascii="宋体" w:hAnsi="宋体" w:eastAsia="宋体" w:cs="宋体"/>
                <w:kern w:val="2"/>
                <w:sz w:val="21"/>
                <w:szCs w:val="21"/>
                <w:lang w:val="en-US" w:eastAsia="zh-CN" w:bidi="ar-SA"/>
              </w:rPr>
            </w:pPr>
            <w:r>
              <w:rPr>
                <w:rFonts w:hint="eastAsia"/>
                <w:lang w:val="en-US" w:eastAsia="zh-CN"/>
              </w:rPr>
              <w:t>自动排渣设计</w:t>
            </w:r>
          </w:p>
          <w:p>
            <w:pPr>
              <w:keepNext w:val="0"/>
              <w:keepLines w:val="0"/>
              <w:widowControl/>
              <w:numPr>
                <w:ilvl w:val="0"/>
                <w:numId w:val="3"/>
              </w:numPr>
              <w:suppressLineNumbers w:val="0"/>
              <w:jc w:val="left"/>
              <w:textAlignment w:val="center"/>
              <w:rPr>
                <w:rFonts w:hint="eastAsia" w:ascii="宋体" w:hAnsi="宋体" w:eastAsia="宋体" w:cs="宋体"/>
                <w:kern w:val="2"/>
                <w:sz w:val="21"/>
                <w:szCs w:val="21"/>
                <w:lang w:val="en-US" w:eastAsia="zh-CN" w:bidi="ar-SA"/>
              </w:rPr>
            </w:pPr>
            <w:r>
              <w:rPr>
                <w:rFonts w:hint="eastAsia"/>
                <w:lang w:val="en-US" w:eastAsia="zh-CN"/>
              </w:rPr>
              <w:t>紧实的密封盖确保异味不外泄，杜绝设备房异味；</w:t>
            </w:r>
          </w:p>
          <w:p>
            <w:pPr>
              <w:keepNext w:val="0"/>
              <w:keepLines w:val="0"/>
              <w:widowControl/>
              <w:numPr>
                <w:ilvl w:val="0"/>
                <w:numId w:val="3"/>
              </w:numPr>
              <w:suppressLineNumbers w:val="0"/>
              <w:jc w:val="left"/>
              <w:textAlignment w:val="center"/>
              <w:rPr>
                <w:rFonts w:hint="eastAsia" w:ascii="宋体" w:hAnsi="宋体" w:eastAsia="宋体" w:cs="宋体"/>
                <w:kern w:val="2"/>
                <w:sz w:val="21"/>
                <w:szCs w:val="21"/>
                <w:lang w:val="en-US" w:eastAsia="zh-CN" w:bidi="ar-SA"/>
              </w:rPr>
            </w:pPr>
            <w:r>
              <w:rPr>
                <w:rFonts w:hint="eastAsia"/>
                <w:lang w:val="en-US" w:eastAsia="zh-CN"/>
              </w:rPr>
              <w:t>控制柜采用自制集成电路、触摸屏操作，带通讯功能；</w:t>
            </w:r>
          </w:p>
          <w:p>
            <w:pPr>
              <w:keepNext w:val="0"/>
              <w:keepLines w:val="0"/>
              <w:widowControl/>
              <w:numPr>
                <w:ilvl w:val="0"/>
                <w:numId w:val="3"/>
              </w:numPr>
              <w:suppressLineNumbers w:val="0"/>
              <w:jc w:val="left"/>
              <w:textAlignment w:val="center"/>
              <w:rPr>
                <w:rFonts w:hint="eastAsia" w:ascii="宋体" w:hAnsi="宋体" w:eastAsia="宋体" w:cs="宋体"/>
                <w:kern w:val="2"/>
                <w:sz w:val="21"/>
                <w:szCs w:val="21"/>
                <w:lang w:val="en-US" w:eastAsia="zh-CN" w:bidi="ar-SA"/>
              </w:rPr>
            </w:pPr>
            <w:r>
              <w:rPr>
                <w:rFonts w:hint="eastAsia"/>
                <w:lang w:val="en-US" w:eastAsia="zh-CN"/>
              </w:rPr>
              <w:t>不锈钢污水提升泵站便捷维护</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default" w:cs="宋体" w:asciiTheme="minorEastAsia" w:hAnsiTheme="minorEastAsia" w:eastAsiaTheme="minorEastAsia"/>
                <w:kern w:val="0"/>
                <w:szCs w:val="21"/>
                <w:lang w:val="en-US" w:eastAsia="zh-CN" w:bidi="ar"/>
              </w:rPr>
              <w:t>设备支架</w:t>
            </w:r>
          </w:p>
        </w:tc>
        <w:tc>
          <w:tcPr>
            <w:tcW w:w="5275" w:type="dxa"/>
            <w:vAlign w:val="center"/>
          </w:tcPr>
          <w:p>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10#槽钢焊制</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进水管</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DN100PVC</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出水管</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DN100，镀锌材质</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溢流排空管</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DN50PVC</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电线电缆</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3*6mm2+2*4mm2</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五金杂件</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包括法兰片、垫片、螺丝等</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62" w:type="dxa"/>
            <w:vAlign w:val="center"/>
          </w:tcPr>
          <w:p>
            <w:pPr>
              <w:widowControl/>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旧设备拆除</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油污清理</w:t>
            </w:r>
          </w:p>
        </w:tc>
        <w:tc>
          <w:tcPr>
            <w:tcW w:w="1141"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2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62"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18"/>
                <w:szCs w:val="18"/>
                <w:lang w:val="en-US" w:eastAsia="zh-CN" w:bidi="ar"/>
              </w:rPr>
            </w:pPr>
            <w:r>
              <w:rPr>
                <w:rFonts w:hint="eastAsia" w:cs="宋体" w:asciiTheme="minorEastAsia" w:hAnsiTheme="minorEastAsia" w:eastAsiaTheme="minorEastAsia"/>
                <w:kern w:val="0"/>
                <w:szCs w:val="21"/>
                <w:lang w:val="en-US" w:eastAsia="zh-CN" w:bidi="ar"/>
              </w:rPr>
              <w:t>垃圾清运、搬运</w:t>
            </w:r>
          </w:p>
        </w:tc>
        <w:tc>
          <w:tcPr>
            <w:tcW w:w="5275" w:type="dxa"/>
            <w:vAlign w:val="center"/>
          </w:tcPr>
          <w:p>
            <w:pPr>
              <w:widowControl/>
              <w:jc w:val="left"/>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eastAsiaTheme="minorEastAsia"/>
                <w:kern w:val="0"/>
                <w:szCs w:val="21"/>
                <w:lang w:val="en-US" w:eastAsia="zh-CN" w:bidi="ar"/>
              </w:rPr>
              <w:t>1t以内</w:t>
            </w:r>
          </w:p>
        </w:tc>
        <w:tc>
          <w:tcPr>
            <w:tcW w:w="1141" w:type="dxa"/>
            <w:vAlign w:val="center"/>
          </w:tcPr>
          <w:p>
            <w:pPr>
              <w:rPr>
                <w:rFonts w:hint="eastAsia"/>
              </w:rPr>
            </w:pPr>
          </w:p>
        </w:tc>
      </w:tr>
    </w:tbl>
    <w:p>
      <w:pPr>
        <w:pStyle w:val="18"/>
      </w:pP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10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pStyle w:val="18"/>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A2A4B"/>
    <w:multiLevelType w:val="singleLevel"/>
    <w:tmpl w:val="ADBA2A4B"/>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B13C57"/>
    <w:rsid w:val="16B304F0"/>
    <w:rsid w:val="187F2692"/>
    <w:rsid w:val="1BA51044"/>
    <w:rsid w:val="1BE978E3"/>
    <w:rsid w:val="1E620C67"/>
    <w:rsid w:val="20872C9F"/>
    <w:rsid w:val="216D7189"/>
    <w:rsid w:val="22CE77CA"/>
    <w:rsid w:val="23007A16"/>
    <w:rsid w:val="239F050C"/>
    <w:rsid w:val="257E17F7"/>
    <w:rsid w:val="274D626D"/>
    <w:rsid w:val="275663DD"/>
    <w:rsid w:val="278E5053"/>
    <w:rsid w:val="2BF92562"/>
    <w:rsid w:val="2DE024B6"/>
    <w:rsid w:val="2ED0393D"/>
    <w:rsid w:val="312C457E"/>
    <w:rsid w:val="32911927"/>
    <w:rsid w:val="33562ADE"/>
    <w:rsid w:val="33F52CFD"/>
    <w:rsid w:val="34B23808"/>
    <w:rsid w:val="384055D4"/>
    <w:rsid w:val="3AB7106A"/>
    <w:rsid w:val="3F4113F9"/>
    <w:rsid w:val="40A404FA"/>
    <w:rsid w:val="425060F2"/>
    <w:rsid w:val="446D7398"/>
    <w:rsid w:val="45847BA5"/>
    <w:rsid w:val="46410D56"/>
    <w:rsid w:val="469E203D"/>
    <w:rsid w:val="49C40002"/>
    <w:rsid w:val="49E80350"/>
    <w:rsid w:val="4BB43D8C"/>
    <w:rsid w:val="4C077C53"/>
    <w:rsid w:val="4DBA22C3"/>
    <w:rsid w:val="52423785"/>
    <w:rsid w:val="540C2BE5"/>
    <w:rsid w:val="56077DC5"/>
    <w:rsid w:val="584840FA"/>
    <w:rsid w:val="59675600"/>
    <w:rsid w:val="59CA0571"/>
    <w:rsid w:val="5A144ED1"/>
    <w:rsid w:val="5D7563F9"/>
    <w:rsid w:val="603D641A"/>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CA5A3C"/>
    <w:rsid w:val="71FEDFB2"/>
    <w:rsid w:val="73025630"/>
    <w:rsid w:val="73210D6E"/>
    <w:rsid w:val="73B91B46"/>
    <w:rsid w:val="760E5640"/>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qFormat/>
    <w:uiPriority w:val="0"/>
    <w:pPr>
      <w:spacing w:before="340" w:after="330" w:line="360" w:lineRule="auto"/>
      <w:jc w:val="center"/>
      <w:outlineLvl w:val="0"/>
    </w:pPr>
    <w:rPr>
      <w:kern w:val="44"/>
      <w:sz w:val="32"/>
      <w:szCs w:val="36"/>
    </w:rPr>
  </w:style>
  <w:style w:type="paragraph" w:styleId="5">
    <w:name w:val="heading 2"/>
    <w:basedOn w:val="3"/>
    <w:next w:val="4"/>
    <w:link w:val="50"/>
    <w:qFormat/>
    <w:uiPriority w:val="0"/>
    <w:pPr>
      <w:adjustRightInd w:val="0"/>
      <w:jc w:val="center"/>
      <w:textAlignment w:val="baseline"/>
      <w:outlineLvl w:val="1"/>
    </w:pPr>
    <w:rPr>
      <w:bCs w:val="0"/>
      <w:kern w:val="0"/>
      <w:szCs w:val="20"/>
    </w:rPr>
  </w:style>
  <w:style w:type="paragraph" w:styleId="3">
    <w:name w:val="heading 3"/>
    <w:basedOn w:val="4"/>
    <w:next w:val="1"/>
    <w:link w:val="48"/>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1"/>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unhideWhenUsed/>
    <w:qFormat/>
    <w:uiPriority w:val="99"/>
    <w:pPr>
      <w:ind w:left="2100"/>
    </w:pPr>
    <w:rPr>
      <w:sz w:val="24"/>
    </w:rPr>
  </w:style>
  <w:style w:type="paragraph" w:styleId="17">
    <w:name w:val="Body Text 3"/>
    <w:basedOn w:val="1"/>
    <w:qFormat/>
    <w:uiPriority w:val="0"/>
    <w:pPr>
      <w:spacing w:after="120"/>
    </w:pPr>
    <w:rPr>
      <w:sz w:val="16"/>
      <w:szCs w:val="16"/>
    </w:rPr>
  </w:style>
  <w:style w:type="paragraph" w:styleId="18">
    <w:name w:val="Body Text"/>
    <w:basedOn w:val="1"/>
    <w:next w:val="1"/>
    <w:qFormat/>
    <w:uiPriority w:val="0"/>
    <w:pPr>
      <w:spacing w:line="360" w:lineRule="auto"/>
    </w:pPr>
    <w:rPr>
      <w:b/>
      <w:bCs/>
      <w:sz w:val="24"/>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4"/>
    <w:qFormat/>
    <w:uiPriority w:val="0"/>
    <w:rPr>
      <w:rFonts w:ascii="Arial" w:hAnsi="Arial" w:eastAsia="黑体"/>
      <w:b/>
      <w:bCs/>
      <w:kern w:val="2"/>
      <w:sz w:val="28"/>
      <w:szCs w:val="28"/>
      <w:lang w:val="en-US" w:eastAsia="zh-CN" w:bidi="ar-SA"/>
    </w:rPr>
  </w:style>
  <w:style w:type="character" w:customStyle="1" w:styleId="48">
    <w:name w:val="标题 3 字符"/>
    <w:link w:val="3"/>
    <w:qFormat/>
    <w:uiPriority w:val="0"/>
    <w:rPr>
      <w:rFonts w:ascii="宋体" w:hAnsi="宋体" w:eastAsia="宋体"/>
      <w:b/>
      <w:bCs/>
      <w:kern w:val="2"/>
      <w:sz w:val="28"/>
      <w:szCs w:val="32"/>
      <w:lang w:val="en-US" w:eastAsia="zh-CN" w:bidi="ar-SA"/>
    </w:rPr>
  </w:style>
  <w:style w:type="character" w:customStyle="1" w:styleId="49">
    <w:name w:val="标题 1 字符"/>
    <w:link w:val="2"/>
    <w:qFormat/>
    <w:uiPriority w:val="0"/>
    <w:rPr>
      <w:rFonts w:ascii="宋体" w:hAnsi="宋体" w:eastAsia="宋体"/>
      <w:b/>
      <w:bCs/>
      <w:kern w:val="44"/>
      <w:sz w:val="32"/>
      <w:szCs w:val="36"/>
      <w:lang w:val="en-US" w:eastAsia="zh-CN" w:bidi="ar-SA"/>
    </w:rPr>
  </w:style>
  <w:style w:type="character" w:customStyle="1" w:styleId="50">
    <w:name w:val="标题 2 字符"/>
    <w:link w:val="5"/>
    <w:qFormat/>
    <w:uiPriority w:val="0"/>
    <w:rPr>
      <w:rFonts w:ascii="宋体" w:hAnsi="宋体" w:eastAsia="宋体"/>
      <w:b/>
      <w:sz w:val="28"/>
      <w:lang w:val="en-US" w:eastAsia="zh-CN" w:bidi="ar-SA"/>
    </w:rPr>
  </w:style>
  <w:style w:type="character" w:customStyle="1" w:styleId="51">
    <w:name w:val="正文缩进 字符"/>
    <w:link w:val="7"/>
    <w:qFormat/>
    <w:uiPriority w:val="0"/>
    <w:rPr>
      <w:rFonts w:eastAsia="宋体"/>
      <w:kern w:val="2"/>
      <w:sz w:val="21"/>
      <w:lang w:val="en-US" w:eastAsia="zh-CN" w:bidi="ar-SA"/>
    </w:rPr>
  </w:style>
  <w:style w:type="character" w:customStyle="1" w:styleId="52">
    <w:name w:val="批注文字 字符"/>
    <w:link w:val="15"/>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1</TotalTime>
  <ScaleCrop>false</ScaleCrop>
  <LinksUpToDate>false</LinksUpToDate>
  <CharactersWithSpaces>11554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2023-12-07T09:40:57Z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BB87CA5906FB4AC483E17446EA6854A3</vt:lpwstr>
  </property>
</Properties>
</file>