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坂田部音乐器材采购</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4011</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4011</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坂田</w:t>
      </w:r>
      <w:r>
        <w:rPr>
          <w:rFonts w:hint="eastAsia" w:ascii="宋体" w:hAnsi="宋体" w:cs="宋体"/>
          <w:szCs w:val="21"/>
        </w:rPr>
        <w:t>部</w:t>
      </w:r>
      <w:r>
        <w:rPr>
          <w:rFonts w:hint="eastAsia" w:ascii="宋体" w:hAnsi="宋体" w:cs="宋体"/>
          <w:szCs w:val="21"/>
          <w:lang w:val="en-US" w:eastAsia="zh-CN"/>
        </w:rPr>
        <w:t>音乐器材</w:t>
      </w:r>
      <w:r>
        <w:rPr>
          <w:rFonts w:hint="eastAsia" w:ascii="宋体" w:hAnsi="宋体" w:cs="宋体"/>
          <w:szCs w:val="21"/>
        </w:rPr>
        <w:t xml:space="preserve">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pStyle w:val="5"/>
        <w:jc w:val="both"/>
        <w:rPr>
          <w:rFonts w:hint="eastAsia" w:cs="宋体"/>
          <w:szCs w:val="28"/>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hint="eastAsia" w:ascii="宋体" w:hAnsi="宋体" w:cs="宋体"/>
        </w:rPr>
      </w:pPr>
      <w:r>
        <w:rPr>
          <w:rFonts w:hint="eastAsia" w:ascii="宋体" w:hAnsi="宋体" w:cs="宋体"/>
        </w:rPr>
        <w:t>当价格分&lt;0时，取0。</w:t>
      </w:r>
    </w:p>
    <w:p>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项目管理班子配备情况"/>
      <w:bookmarkEnd w:id="3"/>
      <w:bookmarkStart w:id="4" w:name="bt合同条款"/>
      <w:bookmarkEnd w:id="4"/>
      <w:bookmarkStart w:id="5" w:name="bt合同条款及格式"/>
      <w:bookmarkEnd w:id="5"/>
      <w:bookmarkStart w:id="6" w:name="bt其他资料2"/>
      <w:bookmarkEnd w:id="6"/>
      <w:bookmarkStart w:id="7" w:name="bt商务标投标文件格式"/>
      <w:bookmarkEnd w:id="7"/>
      <w:bookmarkStart w:id="8" w:name="bt开标一览表"/>
      <w:bookmarkEnd w:id="8"/>
      <w:bookmarkStart w:id="9" w:name="bt投标报价汇总表"/>
      <w:bookmarkEnd w:id="9"/>
      <w:bookmarkStart w:id="10" w:name="bt投标人情况介绍"/>
      <w:bookmarkEnd w:id="10"/>
      <w:bookmarkStart w:id="11" w:name="bt合同格式"/>
      <w:bookmarkEnd w:id="11"/>
      <w:bookmarkStart w:id="12" w:name="bt投标函"/>
      <w:bookmarkEnd w:id="12"/>
      <w:bookmarkStart w:id="13" w:name="bt技术标投标文件格式"/>
      <w:bookmarkEnd w:id="13"/>
      <w:bookmarkStart w:id="14" w:name="bt本工程承诺书"/>
      <w:bookmarkEnd w:id="14"/>
      <w:bookmarkStart w:id="15" w:name="合同格式"/>
      <w:bookmarkEnd w:id="15"/>
      <w:bookmarkStart w:id="16" w:name="bt说明"/>
      <w:bookmarkEnd w:id="16"/>
      <w:bookmarkStart w:id="17" w:name="bt其他资料由投标人自定"/>
      <w:bookmarkEnd w:id="17"/>
      <w:bookmarkStart w:id="18" w:name="bt投标人须知"/>
      <w:bookmarkEnd w:id="18"/>
      <w:bookmarkStart w:id="19" w:name="bt投标文件签署授权委托书"/>
      <w:bookmarkEnd w:id="19"/>
    </w:p>
    <w:p>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5"/>
        <w:pageBreakBefore w:val="0"/>
        <w:numPr>
          <w:ilvl w:val="0"/>
          <w:numId w:val="4"/>
        </w:numPr>
        <w:kinsoku/>
        <w:wordWrap/>
        <w:overflowPunct/>
        <w:topLinePunct w:val="0"/>
        <w:autoSpaceDE/>
        <w:autoSpaceDN/>
        <w:bidi w:val="0"/>
        <w:snapToGrid/>
        <w:spacing w:before="120" w:beforeLines="50" w:after="120" w:afterLines="50" w:line="320" w:lineRule="exact"/>
      </w:pPr>
      <w:bookmarkStart w:id="20" w:name="_Toc73517639"/>
      <w:bookmarkStart w:id="21" w:name="_Toc73521547"/>
      <w:bookmarkStart w:id="22" w:name="_Toc100052364"/>
      <w:bookmarkStart w:id="23" w:name="_Toc73518117"/>
      <w:bookmarkStart w:id="24" w:name="_Toc101074876"/>
      <w:bookmarkStart w:id="25" w:name="_Toc60631620"/>
      <w:bookmarkStart w:id="26" w:name="_Toc60560625"/>
      <w:bookmarkStart w:id="27" w:name="_Toc73521635"/>
      <w:r>
        <w:rPr>
          <w:rFonts w:hint="eastAsia" w:cs="宋体"/>
          <w:szCs w:val="28"/>
        </w:rPr>
        <w:t>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b/>
          <w:color w:val="auto"/>
          <w:sz w:val="24"/>
          <w:szCs w:val="24"/>
        </w:rPr>
      </w:pPr>
    </w:p>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深圳实验学校坂田部音乐器材采购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numPr>
          <w:ilvl w:val="0"/>
          <w:numId w:val="5"/>
        </w:numPr>
        <w:spacing w:before="156" w:beforeLines="50" w:after="156" w:afterLines="50"/>
        <w:jc w:val="center"/>
        <w:rPr>
          <w:rFonts w:hint="eastAsia" w:ascii="宋体" w:hAnsi="宋体" w:eastAsia="宋体"/>
          <w:color w:val="auto"/>
          <w:sz w:val="28"/>
          <w:szCs w:val="28"/>
        </w:rPr>
      </w:pPr>
      <w:r>
        <w:rPr>
          <w:rFonts w:hint="eastAsia" w:ascii="宋体" w:hAnsi="宋体" w:eastAsia="宋体"/>
          <w:color w:val="auto"/>
          <w:sz w:val="28"/>
          <w:szCs w:val="28"/>
        </w:rPr>
        <w:t>实质性响应条款</w:t>
      </w:r>
    </w:p>
    <w:p>
      <w:pPr>
        <w:pStyle w:val="4"/>
        <w:numPr>
          <w:ilvl w:val="0"/>
          <w:numId w:val="0"/>
        </w:numPr>
        <w:rPr>
          <w:rFonts w:hint="eastAsia"/>
        </w:rPr>
      </w:pPr>
    </w:p>
    <w:p>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pPr>
              <w:adjustRightInd w:val="0"/>
              <w:snapToGrid w:val="0"/>
              <w:spacing w:line="360" w:lineRule="auto"/>
              <w:rPr>
                <w:rFonts w:hAnsi="宋体"/>
                <w:kern w:val="0"/>
                <w:sz w:val="24"/>
                <w:szCs w:val="24"/>
              </w:rPr>
            </w:pPr>
          </w:p>
        </w:tc>
      </w:tr>
    </w:tbl>
    <w:p>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三角钢琴</w:t>
            </w:r>
          </w:p>
        </w:tc>
        <w:tc>
          <w:tcPr>
            <w:tcW w:w="930" w:type="dxa"/>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932" w:type="dxa"/>
            <w:gridSpan w:val="2"/>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台</w:t>
            </w:r>
          </w:p>
        </w:tc>
        <w:tc>
          <w:tcPr>
            <w:tcW w:w="1263" w:type="dxa"/>
            <w:vAlign w:val="center"/>
          </w:tcPr>
          <w:p>
            <w:pPr>
              <w:pageBreakBefore w:val="0"/>
              <w:kinsoku/>
              <w:wordWrap/>
              <w:overflowPunct/>
              <w:topLinePunct w:val="0"/>
              <w:autoSpaceDE/>
              <w:autoSpaceDN/>
              <w:bidi w:val="0"/>
              <w:snapToGrid/>
              <w:spacing w:line="320" w:lineRule="exact"/>
              <w:jc w:val="center"/>
              <w:rPr>
                <w:rFonts w:hint="default" w:ascii="宋体" w:hAnsi="宋体" w:cs="宋体"/>
                <w:b/>
                <w:sz w:val="24"/>
                <w:szCs w:val="24"/>
                <w:lang w:val="en-US" w:eastAsia="zh-CN"/>
              </w:rPr>
            </w:pPr>
            <w:r>
              <w:rPr>
                <w:rFonts w:hint="eastAsia" w:ascii="宋体" w:hAnsi="宋体" w:cs="宋体"/>
                <w:b/>
                <w:sz w:val="24"/>
                <w:szCs w:val="24"/>
                <w:lang w:val="en-US" w:eastAsia="zh-CN"/>
              </w:rPr>
              <w:t>70000</w:t>
            </w: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bl>
    <w:p>
      <w:pPr>
        <w:pageBreakBefore w:val="0"/>
        <w:kinsoku/>
        <w:wordWrap/>
        <w:overflowPunct/>
        <w:topLinePunct w:val="0"/>
        <w:autoSpaceDE/>
        <w:autoSpaceDN/>
        <w:bidi w:val="0"/>
        <w:snapToGrid/>
        <w:spacing w:line="320" w:lineRule="exact"/>
        <w:rPr>
          <w:rFonts w:hint="eastAsia" w:ascii="宋体" w:hAnsi="宋体" w:cs="宋体"/>
          <w:b/>
          <w:sz w:val="24"/>
          <w:szCs w:val="24"/>
        </w:rPr>
      </w:pPr>
    </w:p>
    <w:p>
      <w:pPr>
        <w:pageBreakBefore w:val="0"/>
        <w:kinsoku/>
        <w:wordWrap/>
        <w:overflowPunct/>
        <w:topLinePunct w:val="0"/>
        <w:autoSpaceDE/>
        <w:autoSpaceDN/>
        <w:bidi w:val="0"/>
        <w:snapToGrid/>
        <w:spacing w:line="320" w:lineRule="exact"/>
        <w:rPr>
          <w:rFonts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4"/>
        <w:rPr>
          <w:rFonts w:hint="eastAsia"/>
          <w:lang w:val="en-US" w:eastAsia="zh-CN"/>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val="0"/>
          <w:bCs/>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77"/>
        <w:gridCol w:w="534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77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34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229"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1" w:type="dxa"/>
            <w:vAlign w:val="center"/>
          </w:tcPr>
          <w:p>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eastAsia="宋体" w:cs="宋体"/>
                <w:color w:val="000000"/>
                <w:kern w:val="0"/>
                <w:sz w:val="21"/>
                <w:szCs w:val="21"/>
                <w:lang w:val="en-US" w:eastAsia="zh-CN" w:bidi="ar"/>
              </w:rPr>
              <w:t>1</w:t>
            </w:r>
          </w:p>
        </w:tc>
        <w:tc>
          <w:tcPr>
            <w:tcW w:w="1777"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三角钢琴</w:t>
            </w:r>
          </w:p>
        </w:tc>
        <w:tc>
          <w:tcPr>
            <w:tcW w:w="5342" w:type="dxa"/>
            <w:vAlign w:val="center"/>
          </w:tcPr>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气候适应要求：使用地气候适应性处理</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尺寸：长度1</w:t>
            </w:r>
            <w:r>
              <w:rPr>
                <w:rFonts w:hint="eastAsia" w:ascii="宋体" w:hAnsi="宋体" w:eastAsia="宋体" w:cs="宋体"/>
                <w:sz w:val="21"/>
                <w:szCs w:val="21"/>
                <w:lang w:val="en-US" w:eastAsia="zh-CN"/>
              </w:rPr>
              <w:t>5</w:t>
            </w:r>
            <w:r>
              <w:rPr>
                <w:rFonts w:hint="eastAsia" w:ascii="宋体" w:hAnsi="宋体" w:eastAsia="宋体" w:cs="宋体"/>
                <w:sz w:val="21"/>
                <w:szCs w:val="21"/>
              </w:rPr>
              <w:t>1厘米及以上</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颜色：黑色亮光</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外壳：实木板叠层胶合，并整体弯曲成型</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琴腿：欧洲榉木实木</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金属部件：实心黄铜，抛光且经过喷漆</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背架：云杉木制作的木支架有3根放射状支架</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▲音板：由欧洲云杉木实木单板径切密纹</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肋木：10个实心直纹云杉实木肋木；肋木边缘嵌入内壳与内壳木材纹理链接，形成整体共鸣体</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▲码桥：优质实木码桥，码桥采用硬枫木实木，低音悬浮式马桥加长有效弦长。</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弦列：交叉弦列，组合式别弦钮，高音区前后双重泛音列</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▲铸铁板：真空铸造</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调律钉：采用优质钢，带防锈镀镍涂层</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▲琴弦：裸弦使用进口高级抛光琴弦，音色纯净音准稳定，表面无镀铬涂层</w:t>
            </w:r>
            <w:r>
              <w:rPr>
                <w:rFonts w:hint="eastAsia" w:ascii="宋体" w:hAnsi="宋体" w:eastAsia="宋体" w:cs="宋体"/>
                <w:sz w:val="21"/>
                <w:szCs w:val="21"/>
                <w:lang w:eastAsia="zh-CN"/>
              </w:rPr>
              <w:t>，</w:t>
            </w:r>
            <w:r>
              <w:rPr>
                <w:rFonts w:hint="eastAsia" w:ascii="宋体" w:hAnsi="宋体" w:eastAsia="宋体" w:cs="宋体"/>
                <w:sz w:val="21"/>
                <w:szCs w:val="21"/>
              </w:rPr>
              <w:t>低音缠弦用进口钢材为芯，缠以纯实心铜</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止音器：配有上好羊毛的实木止音头</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▲击弦机：铝合金外总档，击弦机部件高精度制作，具有抵御北方干燥气候的特殊处理工艺</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键盘：琴键材料为纯正的云杉木实木木材；键皮与实木键体无缝粘接</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键侧木：配有高度调整螺丝的键侧木</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键盘架：取材于云杉木，并在中盘枕木和前档枕木中插入硬木插件，键盘架有5根以上平衡调节螺丝</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踏板：为硬质实心黄铜，柔音、低音特定延音及止音器踏板</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键盘盖：双侧内置缓降键盘盖</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▲制造方式：整琴及重要零部件由品牌原厂研发并生产</w:t>
            </w:r>
          </w:p>
          <w:p>
            <w:pPr>
              <w:pStyle w:val="60"/>
              <w:numPr>
                <w:ilvl w:val="0"/>
                <w:numId w:val="6"/>
              </w:numPr>
              <w:adjustRightInd w:val="0"/>
              <w:snapToGrid w:val="0"/>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质量认证：生产厂家ISO9001,ISO14001</w:t>
            </w:r>
          </w:p>
          <w:p>
            <w:pPr>
              <w:pStyle w:val="60"/>
              <w:numPr>
                <w:ilvl w:val="0"/>
                <w:numId w:val="6"/>
              </w:numPr>
              <w:adjustRightInd w:val="0"/>
              <w:snapToGrid w:val="0"/>
              <w:spacing w:line="360" w:lineRule="auto"/>
              <w:ind w:firstLineChars="0"/>
              <w:rPr>
                <w:rFonts w:hint="eastAsia" w:ascii="宋体" w:hAnsi="宋体" w:eastAsia="宋体" w:cs="宋体"/>
                <w:b/>
                <w:bCs/>
                <w:sz w:val="21"/>
                <w:szCs w:val="21"/>
                <w:lang w:val="zh-CN"/>
              </w:rPr>
            </w:pPr>
            <w:r>
              <w:rPr>
                <w:rFonts w:hint="eastAsia" w:ascii="宋体" w:hAnsi="宋体" w:eastAsia="宋体" w:cs="宋体"/>
                <w:sz w:val="21"/>
                <w:szCs w:val="21"/>
              </w:rPr>
              <w:t>附属品：每架钢琴原配琴凳。</w:t>
            </w:r>
          </w:p>
        </w:tc>
        <w:tc>
          <w:tcPr>
            <w:tcW w:w="1229" w:type="dxa"/>
            <w:vAlign w:val="center"/>
          </w:tcPr>
          <w:p>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bl>
    <w:p>
      <w:pPr>
        <w:pStyle w:val="18"/>
      </w:pP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6</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pPr>
              <w:jc w:val="center"/>
              <w:rPr>
                <w:rFonts w:hint="eastAsia" w:ascii="宋体" w:hAnsi="宋体" w:eastAsia="宋体" w:cs="宋体"/>
                <w:b/>
                <w:lang w:val="en-US" w:eastAsia="zh-CN"/>
              </w:rPr>
            </w:pPr>
            <w:bookmarkStart w:id="30" w:name="_GoBack"/>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pPr>
              <w:rPr>
                <w:rFonts w:hint="eastAsia" w:ascii="宋体" w:hAnsi="宋体" w:eastAsia="宋体" w:cs="宋体"/>
                <w:bCs/>
                <w:kern w:val="2"/>
                <w:sz w:val="21"/>
                <w:szCs w:val="21"/>
                <w:lang w:val="en-US" w:eastAsia="zh-CN" w:bidi="ar-SA"/>
              </w:rPr>
            </w:pP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7"/>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pStyle w:val="18"/>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2375E86D"/>
    <w:multiLevelType w:val="singleLevel"/>
    <w:tmpl w:val="2375E86D"/>
    <w:lvl w:ilvl="0" w:tentative="0">
      <w:start w:val="1"/>
      <w:numFmt w:val="chineseCounting"/>
      <w:suff w:val="nothing"/>
      <w:lvlText w:val="%1、"/>
      <w:lvlJc w:val="left"/>
      <w:rPr>
        <w:rFonts w:hint="eastAsia"/>
      </w:rPr>
    </w:lvl>
  </w:abstractNum>
  <w:abstractNum w:abstractNumId="4">
    <w:nsid w:val="4F6BEABC"/>
    <w:multiLevelType w:val="singleLevel"/>
    <w:tmpl w:val="4F6BEABC"/>
    <w:lvl w:ilvl="0" w:tentative="0">
      <w:start w:val="2"/>
      <w:numFmt w:val="chineseCounting"/>
      <w:suff w:val="nothing"/>
      <w:lvlText w:val="%1、"/>
      <w:lvlJc w:val="left"/>
      <w:rPr>
        <w:rFonts w:hint="eastAsia"/>
      </w:rPr>
    </w:lvl>
  </w:abstractNum>
  <w:abstractNum w:abstractNumId="5">
    <w:nsid w:val="501925F7"/>
    <w:multiLevelType w:val="multilevel"/>
    <w:tmpl w:val="501925F7"/>
    <w:lvl w:ilvl="0" w:tentative="0">
      <w:start w:val="1"/>
      <w:numFmt w:val="decimal"/>
      <w:lvlText w:val="%1."/>
      <w:lvlJc w:val="left"/>
      <w:pPr>
        <w:ind w:left="420" w:hanging="420"/>
      </w:pPr>
      <w:rPr>
        <w:rFonts w:hint="default" w:ascii="宋体" w:hAnsi="宋体" w:eastAsia="宋体" w:cs="宋体"/>
        <w:b w:val="0"/>
        <w:bCs w:val="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87F2692"/>
    <w:rsid w:val="1BA51044"/>
    <w:rsid w:val="1BE978E3"/>
    <w:rsid w:val="1E620C67"/>
    <w:rsid w:val="20872C9F"/>
    <w:rsid w:val="216D7189"/>
    <w:rsid w:val="22CE77CA"/>
    <w:rsid w:val="239F050C"/>
    <w:rsid w:val="257E17F7"/>
    <w:rsid w:val="275663DD"/>
    <w:rsid w:val="278E5053"/>
    <w:rsid w:val="2BF92562"/>
    <w:rsid w:val="2DE024B6"/>
    <w:rsid w:val="2ED0393D"/>
    <w:rsid w:val="312C457E"/>
    <w:rsid w:val="32911927"/>
    <w:rsid w:val="33562ADE"/>
    <w:rsid w:val="33F52CFD"/>
    <w:rsid w:val="34B23808"/>
    <w:rsid w:val="384055D4"/>
    <w:rsid w:val="3A141E3B"/>
    <w:rsid w:val="3A9D5C2C"/>
    <w:rsid w:val="3AB7106A"/>
    <w:rsid w:val="3F4113F9"/>
    <w:rsid w:val="40A404FA"/>
    <w:rsid w:val="420370F8"/>
    <w:rsid w:val="425060F2"/>
    <w:rsid w:val="446D7398"/>
    <w:rsid w:val="44FF34A7"/>
    <w:rsid w:val="45847BA5"/>
    <w:rsid w:val="46410D56"/>
    <w:rsid w:val="469E203D"/>
    <w:rsid w:val="49E80350"/>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3</TotalTime>
  <ScaleCrop>false</ScaleCrop>
  <LinksUpToDate>false</LinksUpToDate>
  <CharactersWithSpaces>11554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2024-04-11T03:18:11Z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BB87CA5906FB4AC483E17446EA6854A3</vt:lpwstr>
  </property>
</Properties>
</file>