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深圳实验学校</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中学部食堂直饮水设施设备采购</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十八</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4014</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中学</w:t>
      </w:r>
      <w:r>
        <w:rPr>
          <w:rFonts w:hint="eastAsia" w:ascii="宋体" w:hAnsi="宋体" w:cs="宋体"/>
          <w:szCs w:val="21"/>
        </w:rPr>
        <w:t xml:space="preserve">部食堂直饮水设施设备采购采购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pStyle w:val="6"/>
        <w:jc w:val="both"/>
        <w:rPr>
          <w:rFonts w:hint="eastAsia" w:cs="宋体"/>
          <w:szCs w:val="28"/>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hint="eastAsia" w:ascii="宋体" w:hAnsi="宋体" w:cs="宋体"/>
        </w:rPr>
      </w:pPr>
      <w:r>
        <w:rPr>
          <w:rFonts w:hint="eastAsia" w:ascii="宋体" w:hAnsi="宋体" w:cs="宋体"/>
        </w:rPr>
        <w:t>当价格分&lt;0时，取0。</w:t>
      </w:r>
    </w:p>
    <w:p>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lang w:val="en-US" w:eastAsia="zh-CN"/>
              </w:rPr>
              <w:t>考察投标人自2021年1月1日至今的同类业绩，</w:t>
            </w:r>
            <w:r>
              <w:rPr>
                <w:rFonts w:hint="eastAsia" w:cs="宋体"/>
              </w:rPr>
              <w:t>每提供1个同类业绩即得1分，满分5分。投标人必须在投标文件中提供每一个完工项目的合同关键页复印件，否则不得分。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rPr>
              <w:t>考察内容：投标人提供市级以上政府荣誉证书、业内权威认证证书扫描件（加盖投标人公章）。每提供1个得1分，最多3分.没有提供的不得分。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rPr>
          <w:rFonts w:hint="eastAsia" w:cs="宋体"/>
          <w:sz w:val="21"/>
          <w:szCs w:val="21"/>
        </w:rPr>
      </w:pPr>
      <w:r>
        <w:rPr>
          <w:rFonts w:hint="eastAsia" w:cs="宋体"/>
          <w:sz w:val="21"/>
          <w:szCs w:val="21"/>
        </w:rPr>
        <w:br w:type="page"/>
      </w: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文件签署授权委托书"/>
      <w:bookmarkEnd w:id="3"/>
      <w:bookmarkStart w:id="4" w:name="合同格式"/>
      <w:bookmarkEnd w:id="4"/>
      <w:bookmarkStart w:id="5" w:name="bt其他资料2"/>
      <w:bookmarkEnd w:id="5"/>
      <w:bookmarkStart w:id="6" w:name="bt本工程承诺书"/>
      <w:bookmarkEnd w:id="6"/>
      <w:bookmarkStart w:id="7" w:name="bt项目管理班子配备情况"/>
      <w:bookmarkEnd w:id="7"/>
      <w:bookmarkStart w:id="8" w:name="bt投标函"/>
      <w:bookmarkEnd w:id="8"/>
      <w:bookmarkStart w:id="9" w:name="bt商务标投标文件格式"/>
      <w:bookmarkEnd w:id="9"/>
      <w:bookmarkStart w:id="10" w:name="bt技术标投标文件格式"/>
      <w:bookmarkEnd w:id="10"/>
      <w:bookmarkStart w:id="11" w:name="bt合同条款及格式"/>
      <w:bookmarkEnd w:id="11"/>
      <w:bookmarkStart w:id="12" w:name="bt合同格式"/>
      <w:bookmarkEnd w:id="12"/>
      <w:bookmarkStart w:id="13" w:name="bt其他资料由投标人自定"/>
      <w:bookmarkEnd w:id="13"/>
      <w:bookmarkStart w:id="14" w:name="bt投标人须知"/>
      <w:bookmarkEnd w:id="14"/>
      <w:bookmarkStart w:id="15" w:name="bt投标报价汇总表"/>
      <w:bookmarkEnd w:id="15"/>
      <w:bookmarkStart w:id="16" w:name="bt开标一览表"/>
      <w:bookmarkEnd w:id="16"/>
      <w:bookmarkStart w:id="17" w:name="bt合同条款"/>
      <w:bookmarkEnd w:id="17"/>
      <w:bookmarkStart w:id="18" w:name="bt说明"/>
      <w:bookmarkEnd w:id="18"/>
      <w:bookmarkStart w:id="19" w:name="bt投标人情况介绍"/>
      <w:bookmarkEnd w:id="19"/>
    </w:p>
    <w:p>
      <w:pPr>
        <w:pStyle w:val="3"/>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6"/>
        <w:pageBreakBefore w:val="0"/>
        <w:numPr>
          <w:ilvl w:val="0"/>
          <w:numId w:val="4"/>
        </w:numPr>
        <w:kinsoku/>
        <w:wordWrap/>
        <w:overflowPunct/>
        <w:topLinePunct w:val="0"/>
        <w:autoSpaceDE/>
        <w:autoSpaceDN/>
        <w:bidi w:val="0"/>
        <w:snapToGrid/>
        <w:spacing w:before="120" w:beforeLines="50" w:after="120" w:afterLines="50" w:line="320" w:lineRule="exact"/>
      </w:pPr>
      <w:bookmarkStart w:id="20" w:name="_Toc100052364"/>
      <w:bookmarkStart w:id="21" w:name="_Toc73521547"/>
      <w:bookmarkStart w:id="22" w:name="_Toc73518117"/>
      <w:bookmarkStart w:id="23" w:name="_Toc101074876"/>
      <w:bookmarkStart w:id="24" w:name="_Toc60631620"/>
      <w:bookmarkStart w:id="25" w:name="_Toc73517639"/>
      <w:bookmarkStart w:id="26" w:name="_Toc60560625"/>
      <w:bookmarkStart w:id="27" w:name="_Toc73521635"/>
      <w:r>
        <w:rPr>
          <w:rFonts w:hint="eastAsia" w:cs="宋体"/>
          <w:szCs w:val="28"/>
        </w:rPr>
        <w:t>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b/>
          <w:color w:val="auto"/>
          <w:sz w:val="24"/>
          <w:szCs w:val="24"/>
        </w:rPr>
      </w:pPr>
    </w:p>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深圳实验学校中学部食堂直饮水设施设备采购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numPr>
          <w:ilvl w:val="0"/>
          <w:numId w:val="5"/>
        </w:numPr>
        <w:spacing w:before="156" w:beforeLines="50" w:after="156" w:afterLines="50"/>
        <w:jc w:val="center"/>
        <w:rPr>
          <w:rFonts w:hint="eastAsia"/>
        </w:rPr>
      </w:pPr>
      <w:r>
        <w:rPr>
          <w:rFonts w:hint="eastAsia" w:ascii="宋体" w:hAnsi="宋体" w:eastAsia="宋体"/>
          <w:color w:val="auto"/>
          <w:sz w:val="28"/>
          <w:szCs w:val="28"/>
        </w:rPr>
        <w:t>实质性响应条款</w:t>
      </w:r>
    </w:p>
    <w:p>
      <w:pPr>
        <w:spacing w:line="360" w:lineRule="auto"/>
        <w:rPr>
          <w:rFonts w:hint="eastAsia"/>
          <w:b w:val="0"/>
          <w:bCs/>
          <w:color w:val="auto"/>
          <w:sz w:val="18"/>
          <w:szCs w:val="18"/>
        </w:rPr>
      </w:pPr>
    </w:p>
    <w:p>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pPr>
              <w:adjustRightInd w:val="0"/>
              <w:snapToGrid w:val="0"/>
              <w:spacing w:line="360" w:lineRule="auto"/>
              <w:rPr>
                <w:rFonts w:hAnsi="宋体"/>
                <w:kern w:val="0"/>
                <w:sz w:val="24"/>
                <w:szCs w:val="24"/>
              </w:rPr>
            </w:pPr>
          </w:p>
        </w:tc>
      </w:tr>
    </w:tbl>
    <w:p>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default" w:ascii="宋体" w:hAnsi="宋体" w:eastAsia="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超滤净水器</w:t>
            </w:r>
          </w:p>
        </w:tc>
        <w:tc>
          <w:tcPr>
            <w:tcW w:w="930" w:type="dxa"/>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110000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反渗透净水器</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净水器压力罐</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变频智能泵</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超滤净水系统柜</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反渗透净水系统柜</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安装辅材</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bl>
    <w:p>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27"/>
        <w:gridCol w:w="583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62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83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029"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eastAsia="宋体" w:cs="宋体"/>
                <w:i w:val="0"/>
                <w:iCs w:val="0"/>
                <w:color w:val="000000"/>
                <w:kern w:val="0"/>
                <w:sz w:val="24"/>
                <w:szCs w:val="24"/>
                <w:u w:val="none"/>
                <w:lang w:val="en-US" w:eastAsia="zh-CN" w:bidi="ar"/>
              </w:rPr>
              <w:t>1</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超滤净水器</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规格：单机设备尺寸：Φ143×948mm（±10%），6支并联，须提供6支并联的CAD结构安装尺寸平面图；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1、产品材质要求：过滤外壳采用304全不锈钢材质；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2、产品外观：表面色泽光亮无脏污，无毛刺黑点、缩影、划痕等。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3、产品参数要求：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3.1、额定总净水量（单支）：≥15m³；(以水批的数值为准）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3.2、净水流速（单支）：≥16.7L/min；（以水批的数值为准）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3.3、进水温度：5-45（℃）；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3.4、进水压力：0.08-0.35Mpa；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3.5、产品尺寸：Φ143×948mm（±10%）；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4、▲过滤膜采用内压式中空纤维超滤膜滤芯，过滤精度≤0.01微米； 须提供教育部/局相关部门出具的的超滤膜滤芯过滤孔径的检测报告作证明资料。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5、进水水质要求：市政自来水；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6、产品出水水质符合《生活饮用水水质处理器卫生安全与功能评价规范—一般水质处理器》（2001）的要求；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、▲所投产品整机必须具有省级以上卫生健康委员会颁发的涉水产品卫生许可批件（要求：产品型号及相关信息须与整机卫生许可批件上的一致，否则视为无效响应）；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、▲要求整机净化水总大肠菌的去除率符合《生活饮用水水质处理器卫生安全与功能评价规范—一般水质处理器》（2001）的要求且提供带有“CMA”、“CNAS”、“ilac认证标志的检测合格报告提供复印件；</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2</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反渗透净水器</w:t>
            </w:r>
          </w:p>
        </w:tc>
        <w:tc>
          <w:tcPr>
            <w:tcW w:w="5831" w:type="dxa"/>
            <w:vAlign w:val="center"/>
          </w:tcPr>
          <w:p>
            <w:pPr>
              <w:keepNext w:val="0"/>
              <w:keepLines w:val="0"/>
              <w:widowControl/>
              <w:numPr>
                <w:ilvl w:val="0"/>
                <w:numId w:val="6"/>
              </w:numPr>
              <w:suppressLineNumbers w:val="0"/>
              <w:jc w:val="both"/>
              <w:textAlignment w:val="center"/>
              <w:rPr>
                <w:rStyle w:val="74"/>
                <w:rFonts w:hint="eastAsia" w:ascii="宋体" w:hAnsi="宋体" w:cs="宋体"/>
                <w:color w:val="auto"/>
                <w:lang w:val="en-US" w:eastAsia="zh-CN" w:bidi="ar"/>
              </w:rPr>
            </w:pPr>
            <w:r>
              <w:rPr>
                <w:rFonts w:hint="eastAsia" w:ascii="宋体" w:hAnsi="宋体" w:eastAsia="宋体" w:cs="宋体"/>
                <w:i w:val="0"/>
                <w:iCs w:val="0"/>
                <w:color w:val="auto"/>
                <w:kern w:val="0"/>
                <w:sz w:val="21"/>
                <w:szCs w:val="21"/>
                <w:u w:val="none"/>
                <w:lang w:val="en-US" w:eastAsia="zh-CN" w:bidi="ar"/>
              </w:rPr>
              <w:t>整机为立式柜机，外观参考尺寸：长宽高：550×580×1000mm（±20mm）</w:t>
            </w:r>
            <w:r>
              <w:rPr>
                <w:rFonts w:hint="eastAsia" w:ascii="宋体" w:hAnsi="宋体" w:cs="宋体"/>
                <w:i w:val="0"/>
                <w:iCs w:val="0"/>
                <w:color w:val="auto"/>
                <w:kern w:val="0"/>
                <w:sz w:val="21"/>
                <w:szCs w:val="21"/>
                <w:u w:val="none"/>
                <w:lang w:val="en-US" w:eastAsia="zh-CN" w:bidi="ar"/>
              </w:rPr>
              <w:t>;</w:t>
            </w:r>
          </w:p>
          <w:p>
            <w:pPr>
              <w:keepNext w:val="0"/>
              <w:keepLines w:val="0"/>
              <w:widowControl/>
              <w:numPr>
                <w:ilvl w:val="0"/>
                <w:numId w:val="6"/>
              </w:numPr>
              <w:suppressLineNumbers w:val="0"/>
              <w:jc w:val="both"/>
              <w:textAlignment w:val="center"/>
              <w:rPr>
                <w:rStyle w:val="74"/>
                <w:rFonts w:hint="eastAsia" w:ascii="宋体" w:hAnsi="宋体" w:cs="宋体"/>
                <w:color w:val="auto"/>
                <w:lang w:val="en-US" w:eastAsia="zh-CN" w:bidi="ar"/>
              </w:rPr>
            </w:pPr>
            <w:r>
              <w:rPr>
                <w:rStyle w:val="74"/>
                <w:rFonts w:hint="eastAsia" w:ascii="宋体" w:hAnsi="宋体" w:eastAsia="宋体" w:cs="宋体"/>
                <w:color w:val="auto"/>
                <w:lang w:val="en-US" w:eastAsia="zh-CN" w:bidi="ar"/>
              </w:rPr>
              <w:t>2、▲杀菌装置：出水杀菌技术采用紫外线（UV）杀菌等物理杀菌技术，且紫外线杀菌器使用年限≥1000h，证明依据：杀菌技术装置需体现在整机涉水卫生批件中及产品水处理工艺图及电路原理图中，提供投标产品型号《涉及饮用水卫生安全产品卫生许可批件》；投标产品紫外线等物理杀菌装置的杀菌效果符合《生活饮用水标准检验方法 微生物指标》标准，且总大肠杆菌群去除率大于99%，证明依据：提供紫外线等物理杀菌装置具备CMA及CNAS认证标志的的第三方检测报告，报告送检单位为投标产品制造商。提供报告需在国家市场监督管理总局-全国认证认可信息公共服务平台（http://cx.cnca.cn/CertECloud/qts/qts/qtsPage）可查并提供查询截图；</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3、净水流量＞2L/min，额定总净水量＞4000L，储水容器容积＞35L，证明依据：提供投标产品型号《涉及饮用水卫生安全产品卫生许可批件》及提供投标产品单一型号具备CMA及CNAS认证标志的第三方检测报告，报告送检单位为投标产品制造，提供报告需在国家市场监督管理总局-全国认证认可信息公共服务平台（http://cx.cnca.cn/CertECloud/qts/qts/qtsPage）可查并提供查询截图；</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4、额定电压/频率220V/50Hz，额定功率≤100W，证明依据：提供投标产品单一型号具备CMA及CNAS认证标志的第三方检测报告来证明用电要求，报告送检单位为投标产品制造商；</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5、LED可视化显示屏，且显示屏大小不低于五寸，显示或提示内容包括不限于滤芯寿命、整机运行状态、TDS数值、GPS联网情况、杀菌状态、换芯状态等功能</w:t>
            </w:r>
            <w:r>
              <w:rPr>
                <w:rStyle w:val="74"/>
                <w:rFonts w:hint="eastAsia" w:ascii="宋体" w:hAnsi="宋体" w:cs="宋体"/>
                <w:color w:val="auto"/>
                <w:lang w:val="en-US" w:eastAsia="zh-CN" w:bidi="ar"/>
              </w:rPr>
              <w:t>;</w:t>
            </w:r>
          </w:p>
          <w:p>
            <w:pPr>
              <w:keepNext w:val="0"/>
              <w:keepLines w:val="0"/>
              <w:widowControl/>
              <w:numPr>
                <w:ilvl w:val="0"/>
                <w:numId w:val="7"/>
              </w:numPr>
              <w:suppressLineNumbers w:val="0"/>
              <w:jc w:val="both"/>
              <w:textAlignment w:val="center"/>
              <w:rPr>
                <w:rFonts w:hint="eastAsia" w:ascii="宋体" w:hAnsi="宋体" w:eastAsia="宋体" w:cs="宋体"/>
                <w:b/>
                <w:bCs/>
                <w:sz w:val="21"/>
                <w:szCs w:val="21"/>
                <w:lang w:val="zh-CN"/>
              </w:rPr>
            </w:pPr>
            <w:r>
              <w:rPr>
                <w:rStyle w:val="74"/>
                <w:rFonts w:hint="eastAsia" w:ascii="宋体" w:hAnsi="宋体" w:eastAsia="宋体" w:cs="宋体"/>
                <w:color w:val="auto"/>
                <w:lang w:val="en-US" w:eastAsia="zh-CN" w:bidi="ar"/>
              </w:rPr>
              <w:t>产品具备漏水保护、静音模式、远程控制功能、故障码提醒等功能；</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7、</w:t>
            </w:r>
            <w:r>
              <w:rPr>
                <w:rFonts w:hint="eastAsia"/>
                <w:b w:val="0"/>
                <w:bCs/>
                <w:sz w:val="24"/>
                <w:szCs w:val="24"/>
                <w:shd w:val="clear"/>
              </w:rPr>
              <w:t>★</w:t>
            </w:r>
            <w:r>
              <w:rPr>
                <w:rStyle w:val="74"/>
                <w:rFonts w:hint="eastAsia" w:ascii="宋体" w:hAnsi="宋体" w:eastAsia="宋体" w:cs="宋体"/>
                <w:color w:val="auto"/>
                <w:shd w:val="clear"/>
                <w:lang w:val="en-US" w:eastAsia="zh-CN" w:bidi="ar"/>
              </w:rPr>
              <w:t>设备出水水质符合GB 2762-2022《食品安全国家标准 食品中污染物限量》标准,提供检测报告证明，证明材料：提供第三方检测报告，报告送检单位为投标产品制造商，检测报告需具备CMA及CNAS认证标志及需体现投标产品型号；</w:t>
            </w:r>
            <w:r>
              <w:rPr>
                <w:rStyle w:val="74"/>
                <w:rFonts w:hint="eastAsia" w:ascii="宋体" w:hAnsi="宋体" w:eastAsia="宋体" w:cs="宋体"/>
                <w:color w:val="auto"/>
                <w:lang w:val="en-US" w:eastAsia="zh-CN" w:bidi="ar"/>
              </w:rPr>
              <w:br w:type="textWrapping"/>
            </w:r>
            <w:r>
              <w:rPr>
                <w:rStyle w:val="74"/>
                <w:rFonts w:hint="eastAsia" w:ascii="宋体" w:hAnsi="宋体" w:cs="宋体"/>
                <w:color w:val="auto"/>
                <w:lang w:val="en-US" w:eastAsia="zh-CN" w:bidi="ar"/>
              </w:rPr>
              <w:t>8</w:t>
            </w:r>
            <w:r>
              <w:rPr>
                <w:rStyle w:val="74"/>
                <w:rFonts w:hint="eastAsia" w:ascii="宋体" w:hAnsi="宋体" w:eastAsia="宋体" w:cs="宋体"/>
                <w:color w:val="auto"/>
                <w:lang w:val="en-US" w:eastAsia="zh-CN" w:bidi="ar"/>
              </w:rPr>
              <w:t>、产品核心配件（部件）符合食品级要求，满足10个及以上部件的，证明依据：提供具备CMA及CNAS认证标志的第三方食品级检测报告，检测报告送检单位为投标产品制造商，报告内需体现投标产品型号，报告需在国家市场监督管理总局-全国认证认可信息公共服务平台</w:t>
            </w:r>
            <w:r>
              <w:rPr>
                <w:rStyle w:val="74"/>
                <w:rFonts w:hint="eastAsia" w:ascii="宋体" w:hAnsi="宋体" w:cs="宋体"/>
                <w:color w:val="auto"/>
                <w:lang w:val="en-US" w:eastAsia="zh-CN" w:bidi="ar"/>
              </w:rPr>
              <w:t>,</w:t>
            </w:r>
            <w:r>
              <w:rPr>
                <w:rStyle w:val="74"/>
                <w:rFonts w:hint="eastAsia" w:ascii="宋体" w:hAnsi="宋体" w:eastAsia="宋体" w:cs="宋体"/>
                <w:color w:val="auto"/>
                <w:lang w:val="en-US" w:eastAsia="zh-CN" w:bidi="ar"/>
              </w:rPr>
              <w:t>查并提供查询截图（http://cx.cnca.cn/CertECloud/qts/qts/qtsPage）；</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3</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净水器压力罐</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1.体积：20G;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2.蓄水容量：≤45L;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3.适用水温：1-45℃；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4.外壳材质：食品级聚丙烯PP料；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5.适用压力：≤0.45Mpa。</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4</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变频智能泵</w:t>
            </w:r>
          </w:p>
        </w:tc>
        <w:tc>
          <w:tcPr>
            <w:tcW w:w="5831" w:type="dxa"/>
            <w:vAlign w:val="center"/>
          </w:tcPr>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1.功率：220V/550W;</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2.最大转速：4800rpm;</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3.防护等级：IPX4;</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4.绝缘等级：F;</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5.额定流量：2m³/h；</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6.额定扬程：30m；</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7.最大流量：4.5m³/h；</w:t>
            </w:r>
          </w:p>
          <w:p>
            <w:pPr>
              <w:jc w:val="both"/>
              <w:rPr>
                <w:rFonts w:hint="eastAsia" w:ascii="宋体" w:hAnsi="宋体" w:eastAsia="宋体" w:cs="宋体"/>
                <w:b/>
                <w:bCs/>
                <w:sz w:val="21"/>
                <w:szCs w:val="21"/>
                <w:lang w:val="zh-CN"/>
              </w:rPr>
            </w:pPr>
            <w:r>
              <w:rPr>
                <w:rFonts w:hint="eastAsia" w:ascii="宋体" w:hAnsi="宋体" w:eastAsia="宋体" w:cs="宋体"/>
                <w:i w:val="0"/>
                <w:iCs w:val="0"/>
                <w:color w:val="auto"/>
                <w:sz w:val="21"/>
                <w:szCs w:val="21"/>
                <w:u w:val="none"/>
              </w:rPr>
              <w:t>8.最大扬程：42m。</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5</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超滤净水系统柜</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规格：定制，配超滤净水器；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2.柜框厚1.2±0.1mm；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3.柜身厚1.2±0.1mm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4.双层门设计，门厚1.0±0.1mm，带锁；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5.配可调节子弹脚。</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6</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反渗透净水系统柜</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规格：定制，配反渗透净水器；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2.柜框厚1.2±0.1mm；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3.柜身厚1.2±0.1mm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4.双层门设计，门厚1.0±0.1mm，带锁；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5.配可调节子弹脚。</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7</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安装辅材</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1.角阀、波纹管、三通、直通、弯头、防水胶布等；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2.不锈钢水管20m，含材料安装接驳；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3.打墙孔、垃圾清运。</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bl>
    <w:p>
      <w:pPr>
        <w:pStyle w:val="2"/>
      </w:pPr>
    </w:p>
    <w:p>
      <w:pPr>
        <w:pStyle w:val="6"/>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hint="eastAsia" w:ascii="宋体" w:hAnsi="宋体" w:cs="宋体"/>
                <w:b/>
              </w:rPr>
            </w:pPr>
          </w:p>
        </w:tc>
        <w:tc>
          <w:tcPr>
            <w:tcW w:w="1660" w:type="dxa"/>
            <w:vMerge w:val="continue"/>
            <w:vAlign w:val="center"/>
          </w:tcPr>
          <w:p>
            <w:pPr>
              <w:jc w:val="center"/>
              <w:rPr>
                <w:rFonts w:hint="eastAsia" w:ascii="宋体" w:hAnsi="宋体" w:cs="宋体"/>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spacing w:line="340" w:lineRule="exact"/>
              <w:rPr>
                <w:rFonts w:hint="eastAsia"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default" w:ascii="宋体" w:hAnsi="宋体" w:eastAsia="宋体" w:cs="宋体"/>
                <w:bCs/>
                <w:szCs w:val="21"/>
                <w:lang w:val="en-US" w:eastAsia="zh-CN"/>
              </w:rPr>
            </w:pPr>
            <w:r>
              <w:rPr>
                <w:rFonts w:hint="eastAsia"/>
              </w:rPr>
              <w:t>★</w:t>
            </w:r>
            <w:r>
              <w:rPr>
                <w:rFonts w:hint="eastAsia" w:ascii="宋体" w:hAnsi="宋体" w:cs="宋体"/>
                <w:bCs/>
                <w:szCs w:val="21"/>
                <w:lang w:val="en-US" w:eastAsia="zh-CN"/>
              </w:rPr>
              <w:t>1.3在设备安装启用后，由采购人随机取样送市卫生检疫检测部门或具有法定资质的机构进行</w:t>
            </w:r>
            <w:r>
              <w:rPr>
                <w:rFonts w:hint="eastAsia" w:ascii="宋体" w:hAnsi="宋体" w:eastAsia="宋体" w:cs="宋体"/>
              </w:rPr>
              <w:t>水质检测</w:t>
            </w:r>
            <w:r>
              <w:rPr>
                <w:rFonts w:hint="eastAsia" w:ascii="宋体" w:hAnsi="宋体" w:cs="宋体"/>
                <w:lang w:eastAsia="zh-CN"/>
              </w:rPr>
              <w:t>，</w:t>
            </w:r>
            <w:r>
              <w:rPr>
                <w:rFonts w:hint="eastAsia" w:ascii="宋体" w:hAnsi="宋体" w:cs="宋体"/>
                <w:lang w:val="en-US" w:eastAsia="zh-CN"/>
              </w:rPr>
              <w:t>检测依据：</w:t>
            </w:r>
            <w:r>
              <w:rPr>
                <w:rStyle w:val="74"/>
                <w:rFonts w:hint="eastAsia" w:ascii="宋体" w:hAnsi="宋体" w:eastAsia="宋体" w:cs="宋体"/>
                <w:color w:val="auto"/>
                <w:lang w:val="en-US" w:eastAsia="zh-CN" w:bidi="ar"/>
              </w:rPr>
              <w:t>T/BJWA 001-2021 健康直饮水水质标准</w:t>
            </w:r>
            <w:r>
              <w:rPr>
                <w:rStyle w:val="74"/>
                <w:rFonts w:hint="eastAsia" w:ascii="宋体" w:hAnsi="宋体" w:cs="宋体"/>
                <w:color w:val="auto"/>
                <w:lang w:val="en-US" w:eastAsia="zh-CN" w:bidi="ar"/>
              </w:rPr>
              <w:t>，</w:t>
            </w:r>
            <w:r>
              <w:rPr>
                <w:rFonts w:hint="eastAsia" w:ascii="宋体" w:hAnsi="宋体" w:cs="宋体"/>
                <w:lang w:val="en-US" w:eastAsia="zh-CN"/>
              </w:rPr>
              <w:t>检测合格后，安排验收。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jc w:val="center"/>
              <w:rPr>
                <w:rFonts w:hint="default" w:ascii="宋体" w:hAnsi="宋体" w:eastAsia="宋体" w:cs="宋体"/>
                <w:b/>
                <w:kern w:val="2"/>
                <w:sz w:val="21"/>
                <w:szCs w:val="24"/>
                <w:lang w:val="en-US" w:eastAsia="zh-CN" w:bidi="ar-SA"/>
              </w:rPr>
            </w:pPr>
            <w:r>
              <w:rPr>
                <w:rFonts w:hint="eastAsia" w:ascii="宋体" w:hAnsi="宋体" w:cs="宋体"/>
                <w:b/>
                <w:kern w:val="2"/>
                <w:sz w:val="21"/>
                <w:szCs w:val="24"/>
                <w:lang w:val="en-US" w:eastAsia="zh-CN" w:bidi="ar-SA"/>
              </w:rPr>
              <w:t>3</w:t>
            </w:r>
          </w:p>
        </w:tc>
        <w:tc>
          <w:tcPr>
            <w:tcW w:w="0" w:type="auto"/>
            <w:vAlign w:val="center"/>
          </w:tcPr>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▲样品要求</w:t>
            </w:r>
          </w:p>
        </w:tc>
        <w:tc>
          <w:tcPr>
            <w:tcW w:w="0" w:type="auto"/>
            <w:vAlign w:val="center"/>
          </w:tcPr>
          <w:p>
            <w:pPr>
              <w:rPr>
                <w:rFonts w:hint="eastAsia" w:ascii="宋体" w:hAnsi="宋体" w:eastAsia="宋体" w:cs="宋体"/>
                <w:lang w:val="en-US" w:eastAsia="zh-CN"/>
              </w:rPr>
            </w:pPr>
            <w:r>
              <w:rPr>
                <w:rFonts w:hint="eastAsia" w:ascii="宋体" w:hAnsi="宋体" w:eastAsia="宋体" w:cs="宋体"/>
                <w:lang w:val="en-US" w:eastAsia="zh-CN"/>
              </w:rPr>
              <w:t>1.样品种类：反渗透净水器主机整机一套。</w:t>
            </w:r>
          </w:p>
          <w:p>
            <w:pPr>
              <w:rPr>
                <w:rFonts w:hint="eastAsia" w:ascii="宋体" w:hAnsi="宋体" w:eastAsia="宋体" w:cs="宋体"/>
                <w:lang w:val="en-US" w:eastAsia="zh-CN"/>
              </w:rPr>
            </w:pPr>
            <w:r>
              <w:rPr>
                <w:rFonts w:hint="eastAsia" w:ascii="宋体" w:hAnsi="宋体" w:eastAsia="宋体" w:cs="宋体"/>
                <w:lang w:val="en-US" w:eastAsia="zh-CN"/>
              </w:rPr>
              <w:t>2.样品要求：①携带样品与所投产品一致（整机样品外观与投标产品单一型号的CQC或CCC型式试验报告及净水机水效检验检测报告内样品照片一致）；②携带样品满足“技术要求”中带▲条款。</w:t>
            </w:r>
            <w:bookmarkStart w:id="30" w:name="_GoBack"/>
            <w:bookmarkEnd w:id="30"/>
          </w:p>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注：提供样品请参照商务要求中的投标样品要求提供，所提供样品需密封，并在密封表面按招标文件中名称标识出其密封包装内提供样品的内容，可根据样品情况分别密封，整机除外。</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8"/>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2375E86D"/>
    <w:multiLevelType w:val="singleLevel"/>
    <w:tmpl w:val="2375E86D"/>
    <w:lvl w:ilvl="0" w:tentative="0">
      <w:start w:val="1"/>
      <w:numFmt w:val="chineseCounting"/>
      <w:suff w:val="nothing"/>
      <w:lvlText w:val="%1、"/>
      <w:lvlJc w:val="left"/>
      <w:rPr>
        <w:rFonts w:hint="eastAsia"/>
      </w:rPr>
    </w:lvl>
  </w:abstractNum>
  <w:abstractNum w:abstractNumId="4">
    <w:nsid w:val="3F503F12"/>
    <w:multiLevelType w:val="singleLevel"/>
    <w:tmpl w:val="3F503F12"/>
    <w:lvl w:ilvl="0" w:tentative="0">
      <w:start w:val="1"/>
      <w:numFmt w:val="decimal"/>
      <w:suff w:val="nothing"/>
      <w:lvlText w:val="%1、"/>
      <w:lvlJc w:val="left"/>
    </w:lvl>
  </w:abstractNum>
  <w:abstractNum w:abstractNumId="5">
    <w:nsid w:val="4F6BEABC"/>
    <w:multiLevelType w:val="singleLevel"/>
    <w:tmpl w:val="4F6BEABC"/>
    <w:lvl w:ilvl="0" w:tentative="0">
      <w:start w:val="2"/>
      <w:numFmt w:val="chineseCounting"/>
      <w:suff w:val="nothing"/>
      <w:lvlText w:val="%1、"/>
      <w:lvlJc w:val="left"/>
      <w:rPr>
        <w:rFonts w:hint="eastAsia"/>
      </w:rPr>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A9E054"/>
    <w:multiLevelType w:val="singleLevel"/>
    <w:tmpl w:val="7BA9E054"/>
    <w:lvl w:ilvl="0" w:tentative="0">
      <w:start w:val="6"/>
      <w:numFmt w:val="decimal"/>
      <w:suff w:val="nothing"/>
      <w:lvlText w:val="%1、"/>
      <w:lvlJc w:val="left"/>
      <w:rPr>
        <w:rFonts w:hint="default"/>
        <w:b w:val="0"/>
        <w:bCs w:val="0"/>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C824A5E"/>
    <w:rsid w:val="0ED63231"/>
    <w:rsid w:val="11416217"/>
    <w:rsid w:val="12DD1B28"/>
    <w:rsid w:val="12FE3950"/>
    <w:rsid w:val="13AA60E8"/>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935105F"/>
    <w:rsid w:val="2BF92562"/>
    <w:rsid w:val="2DE024B6"/>
    <w:rsid w:val="2ED0393D"/>
    <w:rsid w:val="2ED94D4B"/>
    <w:rsid w:val="312C457E"/>
    <w:rsid w:val="32911927"/>
    <w:rsid w:val="33562ADE"/>
    <w:rsid w:val="33F52CFD"/>
    <w:rsid w:val="34B23808"/>
    <w:rsid w:val="368A2987"/>
    <w:rsid w:val="384055D4"/>
    <w:rsid w:val="3A141E3B"/>
    <w:rsid w:val="3AB7106A"/>
    <w:rsid w:val="3D9A4C51"/>
    <w:rsid w:val="3F4113F9"/>
    <w:rsid w:val="40A404FA"/>
    <w:rsid w:val="425060F2"/>
    <w:rsid w:val="446D7398"/>
    <w:rsid w:val="44FF34A7"/>
    <w:rsid w:val="45847BA5"/>
    <w:rsid w:val="46410D56"/>
    <w:rsid w:val="469E203D"/>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9925AED"/>
    <w:rsid w:val="6A04325F"/>
    <w:rsid w:val="6B126E3A"/>
    <w:rsid w:val="6B97436A"/>
    <w:rsid w:val="6C11369E"/>
    <w:rsid w:val="6DC17C96"/>
    <w:rsid w:val="6E25479E"/>
    <w:rsid w:val="6F194F50"/>
    <w:rsid w:val="6F850ECD"/>
    <w:rsid w:val="6F934146"/>
    <w:rsid w:val="6FCA5A3C"/>
    <w:rsid w:val="71FEDFB2"/>
    <w:rsid w:val="73025630"/>
    <w:rsid w:val="73210D6E"/>
    <w:rsid w:val="73B91B46"/>
    <w:rsid w:val="75EF61F5"/>
    <w:rsid w:val="766746CB"/>
    <w:rsid w:val="76EC41F7"/>
    <w:rsid w:val="77664E62"/>
    <w:rsid w:val="78A10217"/>
    <w:rsid w:val="795A6BAA"/>
    <w:rsid w:val="79C07B41"/>
    <w:rsid w:val="7BD62300"/>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autoRedefine/>
    <w:qFormat/>
    <w:uiPriority w:val="0"/>
    <w:pPr>
      <w:spacing w:before="340" w:after="330" w:line="360" w:lineRule="auto"/>
      <w:jc w:val="center"/>
      <w:outlineLvl w:val="0"/>
    </w:pPr>
    <w:rPr>
      <w:kern w:val="44"/>
      <w:sz w:val="32"/>
      <w:szCs w:val="36"/>
    </w:rPr>
  </w:style>
  <w:style w:type="paragraph" w:styleId="6">
    <w:name w:val="heading 2"/>
    <w:basedOn w:val="4"/>
    <w:next w:val="5"/>
    <w:link w:val="50"/>
    <w:autoRedefine/>
    <w:qFormat/>
    <w:uiPriority w:val="0"/>
    <w:pPr>
      <w:adjustRightInd w:val="0"/>
      <w:jc w:val="center"/>
      <w:textAlignment w:val="baseline"/>
      <w:outlineLvl w:val="1"/>
    </w:pPr>
    <w:rPr>
      <w:bCs w:val="0"/>
      <w:kern w:val="0"/>
      <w:szCs w:val="20"/>
    </w:rPr>
  </w:style>
  <w:style w:type="paragraph" w:styleId="4">
    <w:name w:val="heading 3"/>
    <w:basedOn w:val="5"/>
    <w:next w:val="1"/>
    <w:link w:val="48"/>
    <w:autoRedefine/>
    <w:qFormat/>
    <w:uiPriority w:val="0"/>
    <w:pPr>
      <w:spacing w:before="260" w:after="260" w:line="240" w:lineRule="auto"/>
      <w:outlineLvl w:val="2"/>
    </w:pPr>
    <w:rPr>
      <w:rFonts w:ascii="宋体" w:hAnsi="宋体" w:eastAsia="宋体"/>
      <w:szCs w:val="32"/>
    </w:rPr>
  </w:style>
  <w:style w:type="paragraph" w:styleId="5">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autoRedefine/>
    <w:qFormat/>
    <w:uiPriority w:val="0"/>
    <w:pPr>
      <w:keepNext/>
      <w:keepLines/>
      <w:spacing w:before="280" w:after="290" w:line="376" w:lineRule="auto"/>
      <w:outlineLvl w:val="4"/>
    </w:pPr>
    <w:rPr>
      <w:b/>
      <w:sz w:val="28"/>
      <w:szCs w:val="20"/>
    </w:rPr>
  </w:style>
  <w:style w:type="paragraph" w:styleId="9">
    <w:name w:val="heading 6"/>
    <w:basedOn w:val="1"/>
    <w:next w:val="8"/>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autoRedefine/>
    <w:qFormat/>
    <w:uiPriority w:val="0"/>
    <w:pPr>
      <w:keepNext/>
      <w:keepLines/>
      <w:spacing w:before="240" w:after="64" w:line="320" w:lineRule="auto"/>
      <w:outlineLvl w:val="6"/>
    </w:pPr>
    <w:rPr>
      <w:b/>
      <w:sz w:val="24"/>
      <w:szCs w:val="20"/>
    </w:rPr>
  </w:style>
  <w:style w:type="paragraph" w:styleId="11">
    <w:name w:val="heading 8"/>
    <w:basedOn w:val="1"/>
    <w:next w:val="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b/>
      <w:bCs/>
      <w:sz w:val="24"/>
    </w:rPr>
  </w:style>
  <w:style w:type="paragraph" w:styleId="8">
    <w:name w:val="Normal Indent"/>
    <w:basedOn w:val="1"/>
    <w:link w:val="51"/>
    <w:autoRedefine/>
    <w:qFormat/>
    <w:uiPriority w:val="0"/>
    <w:pPr>
      <w:ind w:firstLine="420"/>
    </w:pPr>
    <w:rPr>
      <w:szCs w:val="20"/>
    </w:rPr>
  </w:style>
  <w:style w:type="paragraph" w:styleId="13">
    <w:name w:val="toc 7"/>
    <w:basedOn w:val="1"/>
    <w:next w:val="1"/>
    <w:autoRedefine/>
    <w:semiHidden/>
    <w:qFormat/>
    <w:uiPriority w:val="0"/>
    <w:pPr>
      <w:ind w:left="1260"/>
      <w:jc w:val="left"/>
    </w:pPr>
    <w:rPr>
      <w:szCs w:val="21"/>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7">
    <w:name w:val="index 6"/>
    <w:basedOn w:val="1"/>
    <w:next w:val="1"/>
    <w:autoRedefine/>
    <w:unhideWhenUsed/>
    <w:qFormat/>
    <w:uiPriority w:val="99"/>
    <w:pPr>
      <w:ind w:left="2100"/>
    </w:pPr>
    <w:rPr>
      <w:sz w:val="24"/>
    </w:rPr>
  </w:style>
  <w:style w:type="paragraph" w:styleId="18">
    <w:name w:val="Body Text 3"/>
    <w:basedOn w:val="1"/>
    <w:autoRedefine/>
    <w:qFormat/>
    <w:uiPriority w:val="0"/>
    <w:pPr>
      <w:spacing w:after="120"/>
    </w:pPr>
    <w:rPr>
      <w:sz w:val="16"/>
      <w:szCs w:val="16"/>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5"/>
    <w:autoRedefine/>
    <w:qFormat/>
    <w:uiPriority w:val="0"/>
    <w:rPr>
      <w:rFonts w:ascii="Arial" w:hAnsi="Arial" w:eastAsia="黑体"/>
      <w:b/>
      <w:bCs/>
      <w:kern w:val="2"/>
      <w:sz w:val="28"/>
      <w:szCs w:val="28"/>
      <w:lang w:val="en-US" w:eastAsia="zh-CN" w:bidi="ar-SA"/>
    </w:rPr>
  </w:style>
  <w:style w:type="character" w:customStyle="1" w:styleId="48">
    <w:name w:val="标题 3 字符"/>
    <w:link w:val="4"/>
    <w:autoRedefine/>
    <w:qFormat/>
    <w:uiPriority w:val="0"/>
    <w:rPr>
      <w:rFonts w:ascii="宋体" w:hAnsi="宋体" w:eastAsia="宋体"/>
      <w:b/>
      <w:bCs/>
      <w:kern w:val="2"/>
      <w:sz w:val="28"/>
      <w:szCs w:val="32"/>
      <w:lang w:val="en-US" w:eastAsia="zh-CN" w:bidi="ar-SA"/>
    </w:rPr>
  </w:style>
  <w:style w:type="character" w:customStyle="1" w:styleId="49">
    <w:name w:val="标题 1 字符"/>
    <w:link w:val="3"/>
    <w:autoRedefine/>
    <w:qFormat/>
    <w:uiPriority w:val="0"/>
    <w:rPr>
      <w:rFonts w:ascii="宋体" w:hAnsi="宋体" w:eastAsia="宋体"/>
      <w:b/>
      <w:bCs/>
      <w:kern w:val="44"/>
      <w:sz w:val="32"/>
      <w:szCs w:val="36"/>
      <w:lang w:val="en-US" w:eastAsia="zh-CN" w:bidi="ar-SA"/>
    </w:rPr>
  </w:style>
  <w:style w:type="character" w:customStyle="1" w:styleId="50">
    <w:name w:val="标题 2 字符"/>
    <w:link w:val="6"/>
    <w:autoRedefine/>
    <w:qFormat/>
    <w:uiPriority w:val="0"/>
    <w:rPr>
      <w:rFonts w:ascii="宋体" w:hAnsi="宋体" w:eastAsia="宋体"/>
      <w:b/>
      <w:sz w:val="28"/>
      <w:lang w:val="en-US" w:eastAsia="zh-CN" w:bidi="ar-SA"/>
    </w:rPr>
  </w:style>
  <w:style w:type="character" w:customStyle="1" w:styleId="51">
    <w:name w:val="正文缩进 字符"/>
    <w:link w:val="8"/>
    <w:autoRedefine/>
    <w:qFormat/>
    <w:uiPriority w:val="0"/>
    <w:rPr>
      <w:rFonts w:eastAsia="宋体"/>
      <w:kern w:val="2"/>
      <w:sz w:val="21"/>
      <w:lang w:val="en-US" w:eastAsia="zh-CN" w:bidi="ar-SA"/>
    </w:rPr>
  </w:style>
  <w:style w:type="character" w:customStyle="1" w:styleId="52">
    <w:name w:val="批注文字 字符"/>
    <w:link w:val="16"/>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3</TotalTime>
  <ScaleCrop>false</ScaleCrop>
  <LinksUpToDate>false</LinksUpToDate>
  <CharactersWithSpaces>11554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2024-04-19T02:26:19Z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85A0AD2C239148CABA0EBC0C866A0051_13</vt:lpwstr>
  </property>
</Properties>
</file>