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宋体" w:hAnsi="宋体" w:eastAsia="宋体" w:cs="宋体"/>
          <w:b/>
          <w:bCs/>
          <w:sz w:val="44"/>
          <w:szCs w:val="44"/>
        </w:rPr>
      </w:pPr>
    </w:p>
    <w:p>
      <w:pPr>
        <w:adjustRightInd w:val="0"/>
        <w:snapToGrid w:val="0"/>
        <w:jc w:val="center"/>
        <w:rPr>
          <w:rFonts w:hint="eastAsia" w:ascii="宋体" w:hAnsi="宋体" w:eastAsia="宋体" w:cs="宋体"/>
          <w:b/>
          <w:bCs/>
          <w:sz w:val="44"/>
          <w:szCs w:val="44"/>
        </w:rPr>
      </w:pPr>
    </w:p>
    <w:p>
      <w:pPr>
        <w:adjustRightInd w:val="0"/>
        <w:snapToGrid w:val="0"/>
        <w:jc w:val="center"/>
        <w:rPr>
          <w:rFonts w:hint="eastAsia" w:ascii="宋体" w:hAnsi="宋体" w:eastAsia="宋体" w:cs="宋体"/>
          <w:b/>
          <w:bCs/>
          <w:sz w:val="44"/>
          <w:szCs w:val="44"/>
        </w:rPr>
      </w:pPr>
    </w:p>
    <w:p>
      <w:pPr>
        <w:adjustRightInd w:val="0"/>
        <w:snapToGrid w:val="0"/>
        <w:jc w:val="center"/>
        <w:rPr>
          <w:rFonts w:hint="eastAsia" w:ascii="宋体" w:hAnsi="宋体" w:eastAsia="宋体" w:cs="宋体"/>
          <w:b/>
          <w:bCs/>
          <w:sz w:val="44"/>
          <w:szCs w:val="44"/>
        </w:rPr>
      </w:pPr>
    </w:p>
    <w:p>
      <w:pPr>
        <w:adjustRightInd w:val="0"/>
        <w:snapToGrid w:val="0"/>
        <w:jc w:val="center"/>
        <w:rPr>
          <w:rFonts w:hint="eastAsia" w:ascii="宋体" w:hAnsi="宋体" w:eastAsia="宋体" w:cs="宋体"/>
          <w:b/>
          <w:bCs/>
          <w:sz w:val="44"/>
          <w:szCs w:val="44"/>
        </w:rPr>
      </w:pPr>
      <w:r>
        <w:rPr>
          <w:rFonts w:hint="eastAsia" w:ascii="宋体" w:hAnsi="宋体" w:eastAsia="宋体" w:cs="宋体"/>
          <w:b/>
          <w:bCs/>
          <w:sz w:val="44"/>
          <w:szCs w:val="44"/>
        </w:rPr>
        <w:t>深圳实验学校</w:t>
      </w:r>
    </w:p>
    <w:p>
      <w:pPr>
        <w:adjustRightInd w:val="0"/>
        <w:snapToGrid w:val="0"/>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教育装备、智慧校园系统及设备类</w:t>
      </w:r>
      <w:r>
        <w:rPr>
          <w:rFonts w:hint="eastAsia" w:ascii="宋体" w:hAnsi="宋体" w:eastAsia="宋体" w:cs="宋体"/>
          <w:b/>
          <w:bCs/>
          <w:sz w:val="44"/>
          <w:szCs w:val="44"/>
        </w:rPr>
        <w:t>项目咨询设计服务</w:t>
      </w:r>
      <w:r>
        <w:rPr>
          <w:rFonts w:hint="eastAsia" w:ascii="宋体" w:hAnsi="宋体" w:cs="宋体"/>
          <w:b/>
          <w:bCs/>
          <w:sz w:val="44"/>
          <w:szCs w:val="44"/>
          <w:lang w:val="en-US" w:eastAsia="zh-CN"/>
        </w:rPr>
        <w:t>征集</w:t>
      </w:r>
      <w:r>
        <w:rPr>
          <w:rFonts w:hint="eastAsia" w:ascii="宋体" w:hAnsi="宋体" w:eastAsia="宋体" w:cs="宋体"/>
          <w:b/>
          <w:bCs/>
          <w:sz w:val="44"/>
          <w:szCs w:val="44"/>
        </w:rPr>
        <w:t>文件</w:t>
      </w: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黑体" w:hAnsi="黑体" w:eastAsia="黑体"/>
          <w:b/>
          <w:bCs/>
          <w:sz w:val="28"/>
          <w:szCs w:val="28"/>
        </w:rPr>
      </w:pPr>
      <w:r>
        <w:rPr>
          <w:rFonts w:hint="eastAsia" w:ascii="黑体" w:hAnsi="黑体" w:eastAsia="黑体"/>
          <w:sz w:val="28"/>
          <w:szCs w:val="28"/>
        </w:rPr>
        <w:t>（项目编号：SZSY</w:t>
      </w:r>
      <w:r>
        <w:rPr>
          <w:rFonts w:ascii="黑体" w:hAnsi="黑体" w:eastAsia="黑体"/>
          <w:sz w:val="28"/>
          <w:szCs w:val="28"/>
        </w:rPr>
        <w:t>CG</w:t>
      </w:r>
      <w:r>
        <w:rPr>
          <w:rFonts w:hint="eastAsia" w:ascii="黑体" w:hAnsi="黑体" w:eastAsia="黑体"/>
          <w:sz w:val="28"/>
          <w:szCs w:val="28"/>
        </w:rPr>
        <w:t>202</w:t>
      </w:r>
      <w:r>
        <w:rPr>
          <w:rFonts w:hint="eastAsia" w:ascii="黑体" w:hAnsi="黑体" w:eastAsia="黑体"/>
          <w:sz w:val="28"/>
          <w:szCs w:val="28"/>
          <w:lang w:val="en-US" w:eastAsia="zh-CN"/>
        </w:rPr>
        <w:t>4015</w:t>
      </w:r>
      <w:r>
        <w:rPr>
          <w:rFonts w:hint="eastAsia" w:ascii="黑体" w:hAnsi="黑体" w:eastAsia="黑体"/>
          <w:sz w:val="28"/>
          <w:szCs w:val="28"/>
        </w:rPr>
        <w:t>）</w:t>
      </w: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spacing w:after="120" w:afterLines="50" w:line="320" w:lineRule="exact"/>
        <w:jc w:val="center"/>
        <w:rPr>
          <w:rFonts w:hint="eastAsia" w:ascii="宋体" w:hAnsi="宋体" w:cs="Arial"/>
          <w:b/>
          <w:sz w:val="24"/>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widowControl/>
        <w:jc w:val="center"/>
        <w:rPr>
          <w:rFonts w:hint="eastAsia"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hint="eastAsia" w:ascii="黑体" w:hAnsi="华文中宋" w:eastAsia="黑体" w:cs="Arial"/>
          <w:sz w:val="32"/>
          <w:szCs w:val="32"/>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四</w:t>
      </w:r>
      <w:r>
        <w:rPr>
          <w:rFonts w:hint="eastAsia" w:ascii="黑体" w:hAnsi="华文中宋" w:eastAsia="黑体" w:cs="Arial"/>
          <w:sz w:val="32"/>
          <w:szCs w:val="32"/>
        </w:rPr>
        <w:t>年四月</w:t>
      </w:r>
      <w:r>
        <w:rPr>
          <w:rFonts w:hint="eastAsia" w:ascii="黑体" w:hAnsi="华文中宋" w:eastAsia="黑体" w:cs="Arial"/>
          <w:sz w:val="32"/>
          <w:szCs w:val="32"/>
          <w:lang w:val="en-US" w:eastAsia="zh-CN"/>
        </w:rPr>
        <w:t>三十</w:t>
      </w:r>
      <w:r>
        <w:rPr>
          <w:rFonts w:hint="eastAsia" w:ascii="黑体" w:hAnsi="华文中宋" w:eastAsia="黑体" w:cs="Arial"/>
          <w:sz w:val="32"/>
          <w:szCs w:val="32"/>
        </w:rPr>
        <w:t>日</w:t>
      </w:r>
    </w:p>
    <w:p>
      <w:pPr>
        <w:jc w:val="center"/>
        <w:rPr>
          <w:rFonts w:hint="eastAsia"/>
        </w:rPr>
      </w:pPr>
      <w:r>
        <w:rPr>
          <w:rFonts w:hint="eastAsia" w:ascii="黑体" w:hAnsi="华文中宋" w:eastAsia="黑体" w:cs="Arial"/>
          <w:sz w:val="32"/>
          <w:szCs w:val="32"/>
        </w:rPr>
        <w:br w:type="page"/>
      </w:r>
    </w:p>
    <w:p>
      <w:pPr>
        <w:pStyle w:val="2"/>
        <w:spacing w:before="156" w:beforeLines="50" w:after="156" w:afterLines="50"/>
        <w:rPr>
          <w:sz w:val="28"/>
          <w:szCs w:val="28"/>
        </w:rPr>
      </w:pPr>
      <w:bookmarkStart w:id="0" w:name="_Toc73518117"/>
      <w:bookmarkStart w:id="1" w:name="_Toc101074876"/>
      <w:bookmarkStart w:id="2" w:name="_Toc73517639"/>
      <w:bookmarkStart w:id="3" w:name="_Toc60560625"/>
      <w:bookmarkStart w:id="4" w:name="_Toc73521635"/>
      <w:bookmarkStart w:id="5" w:name="_Toc60631620"/>
      <w:bookmarkStart w:id="6" w:name="_Toc100052364"/>
      <w:bookmarkStart w:id="7" w:name="_Toc73521547"/>
      <w:r>
        <w:rPr>
          <w:rFonts w:hint="eastAsia"/>
          <w:sz w:val="28"/>
          <w:szCs w:val="28"/>
        </w:rPr>
        <w:t>一、项目概况</w:t>
      </w:r>
    </w:p>
    <w:bookmarkEnd w:id="0"/>
    <w:bookmarkEnd w:id="1"/>
    <w:bookmarkEnd w:id="2"/>
    <w:bookmarkEnd w:id="3"/>
    <w:bookmarkEnd w:id="4"/>
    <w:bookmarkEnd w:id="5"/>
    <w:bookmarkEnd w:id="6"/>
    <w:bookmarkEnd w:id="7"/>
    <w:p>
      <w:pPr>
        <w:tabs>
          <w:tab w:val="left" w:pos="426"/>
        </w:tabs>
        <w:adjustRightInd w:val="0"/>
        <w:snapToGrid w:val="0"/>
        <w:spacing w:line="360" w:lineRule="auto"/>
        <w:ind w:right="11" w:firstLine="480" w:firstLineChars="200"/>
        <w:jc w:val="left"/>
        <w:rPr>
          <w:rFonts w:hint="eastAsia" w:ascii="宋体" w:hAnsi="宋体"/>
          <w:sz w:val="24"/>
        </w:rPr>
      </w:pPr>
      <w:r>
        <w:rPr>
          <w:rFonts w:hint="eastAsia" w:ascii="宋体" w:hAnsi="宋体"/>
          <w:sz w:val="24"/>
        </w:rPr>
        <w:t>深圳实验学校，是政府公办市教育局直属教育机构，现有小学部、初中部、中学部、坂田部、光明部</w:t>
      </w:r>
      <w:r>
        <w:rPr>
          <w:rFonts w:hint="eastAsia" w:ascii="宋体" w:hAnsi="宋体"/>
          <w:sz w:val="24"/>
          <w:lang w:eastAsia="zh-CN"/>
        </w:rPr>
        <w:t>、</w:t>
      </w:r>
      <w:r>
        <w:rPr>
          <w:rFonts w:hint="eastAsia" w:ascii="宋体" w:hAnsi="宋体"/>
          <w:sz w:val="24"/>
        </w:rPr>
        <w:t>高中部组成。本项目是为各学部的</w:t>
      </w:r>
      <w:r>
        <w:rPr>
          <w:rFonts w:hint="eastAsia" w:ascii="宋体" w:hAnsi="宋体"/>
          <w:sz w:val="24"/>
          <w:lang w:val="en-US" w:eastAsia="zh-CN"/>
        </w:rPr>
        <w:t>教育装备、智慧校园系统及设备类的购置、更新、维护等</w:t>
      </w:r>
      <w:r>
        <w:rPr>
          <w:rFonts w:hint="eastAsia" w:ascii="宋体" w:hAnsi="宋体"/>
          <w:sz w:val="24"/>
        </w:rPr>
        <w:t>项目提供咨询设计服务。</w:t>
      </w:r>
    </w:p>
    <w:p>
      <w:pPr>
        <w:tabs>
          <w:tab w:val="left" w:pos="426"/>
        </w:tabs>
        <w:adjustRightInd w:val="0"/>
        <w:snapToGrid w:val="0"/>
        <w:spacing w:line="360" w:lineRule="auto"/>
        <w:ind w:right="11" w:firstLine="480" w:firstLineChars="200"/>
        <w:jc w:val="left"/>
        <w:rPr>
          <w:rFonts w:hint="eastAsia" w:ascii="宋体" w:hAnsi="宋体"/>
          <w:sz w:val="24"/>
        </w:rPr>
      </w:pPr>
      <w:r>
        <w:rPr>
          <w:rFonts w:hint="eastAsia" w:ascii="宋体" w:hAnsi="宋体"/>
          <w:sz w:val="24"/>
        </w:rPr>
        <w:t>本项目为公开征集，入围</w:t>
      </w:r>
      <w:r>
        <w:rPr>
          <w:rFonts w:hint="eastAsia" w:ascii="宋体" w:hAnsi="宋体"/>
          <w:sz w:val="24"/>
          <w:lang w:val="en-US" w:eastAsia="zh-CN"/>
        </w:rPr>
        <w:t>3</w:t>
      </w:r>
      <w:r>
        <w:rPr>
          <w:rFonts w:hint="eastAsia" w:ascii="宋体" w:hAnsi="宋体"/>
          <w:sz w:val="24"/>
        </w:rPr>
        <w:t>家。</w:t>
      </w:r>
    </w:p>
    <w:p/>
    <w:p>
      <w:pPr>
        <w:pStyle w:val="2"/>
        <w:spacing w:before="156" w:beforeLines="50" w:after="156" w:afterLines="50"/>
        <w:rPr>
          <w:sz w:val="28"/>
          <w:szCs w:val="28"/>
        </w:rPr>
      </w:pPr>
      <w:r>
        <w:rPr>
          <w:rFonts w:hint="eastAsia"/>
          <w:sz w:val="28"/>
          <w:szCs w:val="28"/>
        </w:rPr>
        <w:t>二、商务需求</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（一）服务期限：</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本项目服务期限为一年(具体起止</w:t>
      </w:r>
      <w:r>
        <w:rPr>
          <w:rFonts w:hint="default" w:ascii="宋体" w:hAnsi="宋体"/>
          <w:sz w:val="24"/>
          <w:lang w:val="en-US" w:eastAsia="zh-CN"/>
        </w:rPr>
        <w:t>时间以合同约定为准</w:t>
      </w:r>
      <w:r>
        <w:rPr>
          <w:rFonts w:hint="eastAsia" w:ascii="宋体" w:hAnsi="宋体"/>
          <w:sz w:val="24"/>
          <w:lang w:val="en-US" w:eastAsia="zh-CN"/>
        </w:rPr>
        <w:t>)。</w:t>
      </w:r>
      <w:r>
        <w:rPr>
          <w:rFonts w:hint="default" w:ascii="宋体" w:hAnsi="宋体"/>
          <w:sz w:val="24"/>
          <w:lang w:val="en-US" w:eastAsia="zh-CN"/>
        </w:rPr>
        <w:t>该项目为长期服务项目，合同期</w:t>
      </w:r>
      <w:r>
        <w:rPr>
          <w:rFonts w:hint="eastAsia" w:ascii="宋体" w:hAnsi="宋体"/>
          <w:sz w:val="24"/>
          <w:lang w:val="en-US" w:eastAsia="zh-CN"/>
        </w:rPr>
        <w:t>满且履约评价为优者，</w:t>
      </w:r>
      <w:r>
        <w:rPr>
          <w:rFonts w:hint="default" w:ascii="宋体" w:hAnsi="宋体"/>
          <w:sz w:val="24"/>
          <w:lang w:val="en-US" w:eastAsia="zh-CN"/>
        </w:rPr>
        <w:t>可以</w:t>
      </w:r>
      <w:r>
        <w:rPr>
          <w:rFonts w:hint="eastAsia" w:ascii="宋体" w:hAnsi="宋体"/>
          <w:sz w:val="24"/>
          <w:lang w:val="en-US" w:eastAsia="zh-CN"/>
        </w:rPr>
        <w:t>申请续签</w:t>
      </w:r>
      <w:r>
        <w:rPr>
          <w:rFonts w:hint="default" w:ascii="宋体" w:hAnsi="宋体"/>
          <w:sz w:val="24"/>
          <w:lang w:val="en-US" w:eastAsia="zh-CN"/>
        </w:rPr>
        <w:t>，但最长不得超过三十六个月</w:t>
      </w:r>
      <w:r>
        <w:rPr>
          <w:rFonts w:hint="eastAsia" w:ascii="宋体" w:hAnsi="宋体"/>
          <w:sz w:val="24"/>
          <w:lang w:val="en-US" w:eastAsia="zh-CN"/>
        </w:rPr>
        <w:t>。</w:t>
      </w:r>
    </w:p>
    <w:p>
      <w:pPr>
        <w:pStyle w:val="13"/>
      </w:pP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（二）服务地点：</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各学部（园区、校区）具体地址：</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小学部：福田区 红荔路2006号；</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初中部：福田区 百花七路2号；</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中学部：福田区 百花六路4号；</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坂田(校区)部：龙岗区 坂田龙颈坳路 99号；</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光明部：光明区 牛山路768号；</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高中部：南山区 西丽同发路 66号；</w:t>
      </w:r>
    </w:p>
    <w:p>
      <w:pPr>
        <w:pStyle w:val="13"/>
        <w:rPr>
          <w:rFonts w:hint="eastAsia"/>
          <w:lang w:val="en-US" w:eastAsia="zh-CN"/>
        </w:rPr>
      </w:pPr>
    </w:p>
    <w:p>
      <w:pPr>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（三）★投标报价：</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投标人不得以低于成本的报价竞标；当评标委员会认为投标人报价低于成本价时有权利要求其对成本构成进行介绍，并要求投标人用书面的形式进行低价说明；如投标人没有合理的理由或不按要求提供低价说明，评标委员有权作废标处理。</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2.本项目投标报价规则：以所服务标的项目中标价为基</w:t>
      </w:r>
      <w:bookmarkStart w:id="28" w:name="_GoBack"/>
      <w:bookmarkEnd w:id="28"/>
      <w:r>
        <w:rPr>
          <w:rFonts w:hint="eastAsia" w:ascii="宋体" w:hAnsi="宋体"/>
          <w:sz w:val="24"/>
          <w:lang w:val="en-US" w:eastAsia="zh-CN"/>
        </w:rPr>
        <w:t>准报取费率，且</w:t>
      </w:r>
      <w:r>
        <w:rPr>
          <w:rFonts w:hint="eastAsia" w:ascii="宋体" w:hAnsi="宋体"/>
          <w:sz w:val="24"/>
          <w:highlight w:val="yellow"/>
          <w:lang w:val="en-US" w:eastAsia="zh-CN"/>
        </w:rPr>
        <w:t>投标人所报设计费收费率≤3%</w:t>
      </w:r>
      <w:r>
        <w:rPr>
          <w:rFonts w:hint="eastAsia" w:ascii="宋体" w:hAnsi="宋体"/>
          <w:sz w:val="24"/>
          <w:lang w:val="en-US" w:eastAsia="zh-CN"/>
        </w:rPr>
        <w:t>，否则，作无效标处理。</w:t>
      </w:r>
    </w:p>
    <w:p>
      <w:pPr>
        <w:pStyle w:val="13"/>
      </w:pP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（四）合同授予、定价及调整：</w:t>
      </w:r>
    </w:p>
    <w:p>
      <w:pPr>
        <w:spacing w:line="360" w:lineRule="auto"/>
        <w:ind w:firstLine="480" w:firstLineChars="200"/>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1）合同授予：校方将年度预算批复的相关项目按预算金额均衡分组，入围供应商以抽签方式确定具体设计项目。</w:t>
      </w:r>
    </w:p>
    <w:p>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（2）定价：合同定价以入围供应商投标报价的平均值计取。</w:t>
      </w:r>
    </w:p>
    <w:p>
      <w:pPr>
        <w:spacing w:line="360" w:lineRule="auto"/>
        <w:ind w:firstLine="480" w:firstLineChars="200"/>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3）合同调整：甲方可以根据乙方履约情况进行调整合同授予的数量。对履约优秀的入围供应商可以直接授予合同。</w:t>
      </w:r>
    </w:p>
    <w:p>
      <w:pPr>
        <w:spacing w:line="360" w:lineRule="auto"/>
        <w:ind w:firstLine="480" w:firstLineChars="200"/>
        <w:rPr>
          <w:rFonts w:hint="default" w:ascii="宋体" w:hAnsi="宋体"/>
          <w:sz w:val="24"/>
          <w:lang w:val="en-US" w:eastAsia="zh-CN"/>
        </w:rPr>
      </w:pPr>
    </w:p>
    <w:p>
      <w:pPr>
        <w:spacing w:line="360" w:lineRule="auto"/>
        <w:ind w:firstLine="0" w:firstLineChars="0"/>
        <w:rPr>
          <w:rFonts w:hint="default" w:ascii="宋体" w:hAnsi="宋体"/>
          <w:sz w:val="24"/>
          <w:lang w:val="en-US" w:eastAsia="zh-CN"/>
        </w:rPr>
      </w:pPr>
    </w:p>
    <w:p>
      <w:pPr>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（五）支付方式</w:t>
      </w:r>
    </w:p>
    <w:p>
      <w:pPr>
        <w:widowControl w:val="0"/>
        <w:spacing w:line="360" w:lineRule="auto"/>
        <w:ind w:left="0" w:right="0" w:firstLine="480" w:firstLineChars="200"/>
        <w:jc w:val="both"/>
        <w:rPr>
          <w:rFonts w:hint="eastAsia" w:ascii="宋体" w:hAnsi="宋体" w:cs="Times New Roman"/>
          <w:bCs w:val="0"/>
          <w:kern w:val="2"/>
          <w:sz w:val="24"/>
          <w:highlight w:val="none"/>
        </w:rPr>
      </w:pPr>
      <w:r>
        <w:rPr>
          <w:rFonts w:hint="eastAsia" w:ascii="宋体" w:hAnsi="宋体" w:cs="Times New Roman"/>
          <w:bCs w:val="0"/>
          <w:kern w:val="2"/>
          <w:sz w:val="24"/>
          <w:highlight w:val="none"/>
          <w:lang w:val="en-US" w:eastAsia="zh-CN"/>
        </w:rPr>
        <w:t>1</w:t>
      </w:r>
      <w:r>
        <w:rPr>
          <w:rFonts w:hint="eastAsia" w:ascii="宋体" w:hAnsi="宋体" w:cs="Times New Roman"/>
          <w:bCs w:val="0"/>
          <w:kern w:val="2"/>
          <w:sz w:val="24"/>
          <w:highlight w:val="none"/>
        </w:rPr>
        <w:t>.双方约定甲方分2次向乙方支付</w:t>
      </w:r>
      <w:r>
        <w:rPr>
          <w:rFonts w:hint="eastAsia" w:ascii="宋体" w:hAnsi="宋体" w:cs="Times New Roman"/>
          <w:bCs w:val="0"/>
          <w:kern w:val="2"/>
          <w:sz w:val="24"/>
          <w:highlight w:val="none"/>
          <w:lang w:val="en-US" w:eastAsia="zh-CN"/>
        </w:rPr>
        <w:t>设计</w:t>
      </w:r>
      <w:r>
        <w:rPr>
          <w:rFonts w:hint="eastAsia" w:ascii="宋体" w:hAnsi="宋体" w:cs="Times New Roman"/>
          <w:bCs w:val="0"/>
          <w:kern w:val="2"/>
          <w:sz w:val="24"/>
          <w:highlight w:val="none"/>
        </w:rPr>
        <w:t>款。</w:t>
      </w:r>
    </w:p>
    <w:p>
      <w:pPr>
        <w:widowControl w:val="0"/>
        <w:spacing w:line="360" w:lineRule="auto"/>
        <w:ind w:left="0" w:right="0" w:firstLine="480" w:firstLineChars="200"/>
        <w:jc w:val="both"/>
        <w:rPr>
          <w:rFonts w:hint="eastAsia" w:ascii="宋体" w:hAnsi="宋体" w:cs="Times New Roman"/>
          <w:bCs w:val="0"/>
          <w:kern w:val="2"/>
          <w:sz w:val="24"/>
          <w:highlight w:val="none"/>
        </w:rPr>
      </w:pPr>
      <w:r>
        <w:rPr>
          <w:rFonts w:hint="eastAsia" w:ascii="宋体" w:hAnsi="宋体" w:cs="Times New Roman"/>
          <w:bCs w:val="0"/>
          <w:kern w:val="2"/>
          <w:sz w:val="24"/>
          <w:highlight w:val="none"/>
          <w:lang w:val="en-US" w:eastAsia="zh-CN"/>
        </w:rPr>
        <w:t>2</w:t>
      </w:r>
      <w:r>
        <w:rPr>
          <w:rFonts w:hint="eastAsia" w:ascii="宋体" w:hAnsi="宋体" w:cs="Times New Roman"/>
          <w:bCs w:val="0"/>
          <w:kern w:val="2"/>
          <w:sz w:val="24"/>
          <w:highlight w:val="none"/>
        </w:rPr>
        <w:t>.在乙方提交项目初步设计方案及概算、项目招标需求文件、施工图纸（如需要）纸质版8份，电子版2份文件，且项目设计完成及招标控制价（预算标底）编制审定后，甲方支付</w:t>
      </w:r>
      <w:r>
        <w:rPr>
          <w:rFonts w:hint="eastAsia" w:ascii="宋体" w:hAnsi="宋体" w:cs="Times New Roman"/>
          <w:bCs w:val="0"/>
          <w:kern w:val="2"/>
          <w:sz w:val="24"/>
          <w:highlight w:val="none"/>
          <w:lang w:val="en-US" w:eastAsia="zh-CN"/>
        </w:rPr>
        <w:t>设计</w:t>
      </w:r>
      <w:r>
        <w:rPr>
          <w:rFonts w:hint="eastAsia" w:ascii="宋体" w:hAnsi="宋体" w:cs="Times New Roman"/>
          <w:bCs w:val="0"/>
          <w:kern w:val="2"/>
          <w:sz w:val="24"/>
          <w:highlight w:val="none"/>
        </w:rPr>
        <w:t>款至总设计费用的70%。除有单项由于发包人原因或不可抗力因素不能完成设计时，其余项目仍适用本条款。在因甲方原因无法不能完成设计时，经双方对设计工作量确认一致后，若在设计方案设计阶段时，按原设计费的10%计取，若完成至初步设计阶段，按原设计费的40%计取。</w:t>
      </w:r>
    </w:p>
    <w:p>
      <w:pPr>
        <w:spacing w:line="360" w:lineRule="auto"/>
        <w:ind w:firstLine="480" w:firstLineChars="200"/>
        <w:rPr>
          <w:rFonts w:ascii="宋体" w:hAnsi="宋体"/>
          <w:sz w:val="24"/>
          <w:shd w:val="clear" w:fill="FFFF00"/>
        </w:rPr>
      </w:pPr>
      <w:r>
        <w:rPr>
          <w:rFonts w:hint="eastAsia" w:ascii="宋体" w:hAnsi="宋体" w:cs="Times New Roman"/>
          <w:bCs w:val="0"/>
          <w:kern w:val="2"/>
          <w:sz w:val="24"/>
          <w:highlight w:val="none"/>
          <w:lang w:val="en-US" w:eastAsia="zh-CN"/>
        </w:rPr>
        <w:t>3</w:t>
      </w:r>
      <w:r>
        <w:rPr>
          <w:rFonts w:hint="eastAsia" w:ascii="宋体" w:hAnsi="宋体" w:cs="Times New Roman"/>
          <w:bCs w:val="0"/>
          <w:kern w:val="2"/>
          <w:sz w:val="24"/>
          <w:highlight w:val="none"/>
        </w:rPr>
        <w:t>.</w:t>
      </w:r>
      <w:r>
        <w:rPr>
          <w:rFonts w:hint="eastAsia" w:ascii="宋体" w:hAnsi="宋体" w:cs="Times New Roman"/>
          <w:bCs w:val="0"/>
          <w:kern w:val="2"/>
          <w:sz w:val="24"/>
          <w:highlight w:val="none"/>
          <w:lang w:val="en-US" w:eastAsia="zh-CN"/>
        </w:rPr>
        <w:t>项目完成</w:t>
      </w:r>
      <w:r>
        <w:rPr>
          <w:rFonts w:hint="eastAsia" w:ascii="宋体" w:hAnsi="宋体" w:cs="Times New Roman"/>
          <w:bCs w:val="0"/>
          <w:kern w:val="2"/>
          <w:sz w:val="24"/>
          <w:highlight w:val="none"/>
        </w:rPr>
        <w:t>结算验收合格之日后10个工作日内，甲方支付剩余的</w:t>
      </w:r>
      <w:r>
        <w:rPr>
          <w:rFonts w:hint="eastAsia" w:ascii="宋体" w:hAnsi="宋体" w:cs="Times New Roman"/>
          <w:bCs w:val="0"/>
          <w:kern w:val="2"/>
          <w:sz w:val="24"/>
          <w:highlight w:val="none"/>
          <w:lang w:val="en-US" w:eastAsia="zh-CN"/>
        </w:rPr>
        <w:t>3</w:t>
      </w:r>
      <w:r>
        <w:rPr>
          <w:rFonts w:hint="eastAsia" w:ascii="宋体" w:hAnsi="宋体" w:cs="Times New Roman"/>
          <w:bCs w:val="0"/>
          <w:kern w:val="2"/>
          <w:sz w:val="24"/>
          <w:highlight w:val="none"/>
        </w:rPr>
        <w:t>0%合同款</w:t>
      </w:r>
      <w:r>
        <w:rPr>
          <w:rFonts w:hint="eastAsia" w:ascii="宋体" w:hAnsi="宋体" w:cs="Times New Roman"/>
          <w:bCs w:val="0"/>
          <w:kern w:val="2"/>
          <w:sz w:val="24"/>
          <w:highlight w:val="none"/>
          <w:shd w:val="clear"/>
        </w:rPr>
        <w:t>。</w:t>
      </w:r>
    </w:p>
    <w:p>
      <w:pPr>
        <w:spacing w:line="360" w:lineRule="auto"/>
        <w:ind w:firstLine="0" w:firstLineChars="0"/>
        <w:rPr>
          <w:rFonts w:ascii="宋体" w:hAnsi="宋体"/>
          <w:sz w:val="24"/>
        </w:rPr>
      </w:pPr>
    </w:p>
    <w:p>
      <w:pPr>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（六）★其它：</w:t>
      </w:r>
    </w:p>
    <w:p>
      <w:pPr>
        <w:widowControl w:val="0"/>
        <w:spacing w:line="360" w:lineRule="auto"/>
        <w:ind w:left="0" w:right="0" w:firstLine="480" w:firstLineChars="200"/>
        <w:jc w:val="both"/>
        <w:rPr>
          <w:rFonts w:ascii="宋体" w:hAnsi="宋体" w:cs="Times New Roman"/>
          <w:bCs w:val="0"/>
          <w:kern w:val="2"/>
          <w:sz w:val="24"/>
          <w:highlight w:val="none"/>
        </w:rPr>
      </w:pPr>
      <w:r>
        <w:rPr>
          <w:rFonts w:hint="eastAsia" w:ascii="宋体" w:hAnsi="宋体"/>
          <w:sz w:val="24"/>
          <w:lang w:val="en-US" w:eastAsia="zh-CN"/>
        </w:rPr>
        <w:t>1</w:t>
      </w:r>
      <w:r>
        <w:rPr>
          <w:rFonts w:hint="eastAsia" w:ascii="宋体" w:hAnsi="宋体" w:cs="Times New Roman"/>
          <w:bCs w:val="0"/>
          <w:kern w:val="2"/>
          <w:sz w:val="24"/>
          <w:highlight w:val="none"/>
        </w:rPr>
        <w:t>、中标</w:t>
      </w:r>
      <w:r>
        <w:rPr>
          <w:rFonts w:hint="eastAsia" w:ascii="宋体" w:hAnsi="宋体"/>
          <w:sz w:val="24"/>
        </w:rPr>
        <w:t>单位</w:t>
      </w:r>
      <w:r>
        <w:rPr>
          <w:rFonts w:hint="eastAsia" w:ascii="宋体" w:hAnsi="宋体" w:cs="Times New Roman"/>
          <w:bCs w:val="0"/>
          <w:kern w:val="2"/>
          <w:sz w:val="24"/>
          <w:highlight w:val="none"/>
        </w:rPr>
        <w:t>及利益相关方不得参加</w:t>
      </w:r>
      <w:r>
        <w:rPr>
          <w:rFonts w:hint="eastAsia" w:ascii="宋体" w:hAnsi="宋体" w:cs="Times New Roman"/>
          <w:bCs w:val="0"/>
          <w:kern w:val="2"/>
          <w:sz w:val="24"/>
          <w:highlight w:val="none"/>
          <w:lang w:val="en-US" w:eastAsia="zh-CN"/>
        </w:rPr>
        <w:t>有本单位咨询设计</w:t>
      </w:r>
      <w:r>
        <w:rPr>
          <w:rFonts w:hint="eastAsia" w:ascii="宋体" w:hAnsi="宋体" w:cs="Times New Roman"/>
          <w:bCs w:val="0"/>
          <w:kern w:val="2"/>
          <w:sz w:val="24"/>
          <w:highlight w:val="none"/>
        </w:rPr>
        <w:t>项目的投标活动。</w:t>
      </w:r>
    </w:p>
    <w:p>
      <w:pPr>
        <w:widowControl w:val="0"/>
        <w:spacing w:line="360" w:lineRule="auto"/>
        <w:ind w:left="0" w:right="0" w:firstLine="480" w:firstLineChars="200"/>
        <w:jc w:val="both"/>
        <w:rPr>
          <w:rFonts w:hint="eastAsia"/>
          <w:sz w:val="28"/>
          <w:szCs w:val="28"/>
        </w:rPr>
      </w:pPr>
      <w:r>
        <w:rPr>
          <w:rFonts w:hint="eastAsia" w:ascii="宋体" w:hAnsi="宋体"/>
          <w:sz w:val="24"/>
          <w:lang w:val="en-US" w:eastAsia="zh-CN"/>
        </w:rPr>
        <w:t>2</w:t>
      </w:r>
      <w:r>
        <w:rPr>
          <w:rFonts w:hint="eastAsia" w:ascii="宋体" w:hAnsi="宋体" w:cs="Times New Roman"/>
          <w:bCs w:val="0"/>
          <w:kern w:val="2"/>
          <w:sz w:val="24"/>
          <w:highlight w:val="none"/>
        </w:rPr>
        <w:t>、中标</w:t>
      </w:r>
      <w:r>
        <w:rPr>
          <w:rFonts w:hint="eastAsia" w:ascii="宋体" w:hAnsi="宋体"/>
          <w:sz w:val="24"/>
        </w:rPr>
        <w:t>单位</w:t>
      </w:r>
      <w:r>
        <w:rPr>
          <w:rFonts w:hint="eastAsia" w:ascii="宋体" w:hAnsi="宋体" w:cs="Times New Roman"/>
          <w:bCs w:val="0"/>
          <w:kern w:val="2"/>
          <w:sz w:val="24"/>
          <w:highlight w:val="none"/>
        </w:rPr>
        <w:t>对为完成本项目设计所获得的招标人相关文件资料、项目设计成果文件等必须保密。</w:t>
      </w:r>
    </w:p>
    <w:p>
      <w:pPr>
        <w:pStyle w:val="2"/>
        <w:spacing w:before="156" w:beforeLines="50" w:after="156" w:afterLines="50" w:line="360" w:lineRule="auto"/>
        <w:jc w:val="center"/>
        <w:rPr>
          <w:rFonts w:hint="eastAsia"/>
          <w:lang w:val="en-US" w:eastAsia="zh-CN"/>
        </w:rPr>
      </w:pPr>
      <w:r>
        <w:rPr>
          <w:rFonts w:hint="eastAsia"/>
          <w:sz w:val="28"/>
          <w:szCs w:val="28"/>
        </w:rPr>
        <w:t>三、</w:t>
      </w:r>
      <w:r>
        <w:rPr>
          <w:rFonts w:hint="eastAsia"/>
          <w:sz w:val="28"/>
          <w:szCs w:val="28"/>
          <w:lang w:val="en-US" w:eastAsia="zh-CN"/>
        </w:rPr>
        <w:t>技术要求</w:t>
      </w:r>
    </w:p>
    <w:p>
      <w:pPr>
        <w:spacing w:line="360" w:lineRule="auto"/>
        <w:rPr>
          <w:rFonts w:ascii="宋体" w:hAnsi="宋体"/>
          <w:b/>
          <w:sz w:val="24"/>
        </w:rPr>
      </w:pPr>
      <w:r>
        <w:rPr>
          <w:rFonts w:hint="eastAsia" w:ascii="宋体" w:hAnsi="宋体"/>
          <w:b/>
          <w:sz w:val="24"/>
          <w:lang w:eastAsia="zh-CN"/>
        </w:rPr>
        <w:t>（</w:t>
      </w:r>
      <w:r>
        <w:rPr>
          <w:rFonts w:hint="eastAsia" w:ascii="宋体" w:hAnsi="宋体"/>
          <w:b/>
          <w:sz w:val="24"/>
          <w:lang w:val="en-US" w:eastAsia="zh-CN"/>
        </w:rPr>
        <w:t>一</w:t>
      </w:r>
      <w:r>
        <w:rPr>
          <w:rFonts w:hint="eastAsia" w:ascii="宋体" w:hAnsi="宋体"/>
          <w:b/>
          <w:sz w:val="24"/>
          <w:lang w:eastAsia="zh-CN"/>
        </w:rPr>
        <w:t>）</w:t>
      </w:r>
      <w:r>
        <w:rPr>
          <w:rFonts w:ascii="宋体" w:hAnsi="宋体"/>
          <w:b/>
          <w:sz w:val="24"/>
        </w:rPr>
        <w:t>服务内容</w:t>
      </w:r>
    </w:p>
    <w:p>
      <w:pPr>
        <w:spacing w:line="360" w:lineRule="auto"/>
        <w:rPr>
          <w:rFonts w:ascii="宋体" w:hAnsi="宋体"/>
          <w:sz w:val="24"/>
        </w:rPr>
      </w:pPr>
      <w:r>
        <w:rPr>
          <w:rFonts w:ascii="宋体" w:hAnsi="宋体"/>
          <w:sz w:val="24"/>
        </w:rPr>
        <w:t>（1）设计项目范围</w:t>
      </w:r>
    </w:p>
    <w:p>
      <w:pPr>
        <w:spacing w:line="360" w:lineRule="auto"/>
        <w:ind w:firstLine="480" w:firstLineChars="200"/>
        <w:rPr>
          <w:rFonts w:ascii="宋体" w:hAnsi="宋体"/>
          <w:sz w:val="24"/>
          <w:highlight w:val="none"/>
        </w:rPr>
      </w:pPr>
      <w:r>
        <w:rPr>
          <w:rFonts w:ascii="宋体" w:hAnsi="宋体" w:eastAsia="宋体" w:cs="Times New Roman"/>
          <w:sz w:val="24"/>
        </w:rPr>
        <w:t>深圳实验学校</w:t>
      </w:r>
      <w:r>
        <w:rPr>
          <w:rFonts w:hint="eastAsia" w:ascii="宋体" w:hAnsi="宋体" w:eastAsia="宋体" w:cs="Times New Roman"/>
          <w:sz w:val="24"/>
        </w:rPr>
        <w:t>各学部的</w:t>
      </w:r>
      <w:r>
        <w:rPr>
          <w:rFonts w:hint="eastAsia" w:ascii="宋体" w:hAnsi="宋体" w:cs="Times New Roman"/>
          <w:sz w:val="24"/>
          <w:lang w:val="en-US" w:eastAsia="zh-CN"/>
        </w:rPr>
        <w:t>理科</w:t>
      </w:r>
      <w:r>
        <w:rPr>
          <w:rFonts w:hint="eastAsia" w:ascii="宋体" w:hAnsi="宋体" w:eastAsia="宋体" w:cs="Times New Roman"/>
          <w:sz w:val="24"/>
          <w:lang w:val="en-US" w:eastAsia="zh-CN"/>
        </w:rPr>
        <w:t>实验室</w:t>
      </w:r>
      <w:r>
        <w:rPr>
          <w:rFonts w:hint="eastAsia" w:ascii="宋体" w:hAnsi="宋体" w:cs="Times New Roman"/>
          <w:sz w:val="24"/>
          <w:lang w:val="en-US" w:eastAsia="zh-CN"/>
        </w:rPr>
        <w:t>设备</w:t>
      </w:r>
      <w:r>
        <w:rPr>
          <w:rFonts w:hint="eastAsia" w:ascii="宋体" w:hAnsi="宋体" w:eastAsia="宋体" w:cs="Times New Roman"/>
          <w:sz w:val="24"/>
          <w:lang w:val="en-US" w:eastAsia="zh-CN"/>
        </w:rPr>
        <w:t>、</w:t>
      </w:r>
      <w:r>
        <w:rPr>
          <w:rFonts w:hint="eastAsia" w:ascii="宋体" w:hAnsi="宋体" w:cs="Times New Roman"/>
          <w:sz w:val="24"/>
          <w:lang w:val="en-US" w:eastAsia="zh-CN"/>
        </w:rPr>
        <w:t>文科专用教</w:t>
      </w:r>
      <w:r>
        <w:rPr>
          <w:rFonts w:hint="eastAsia" w:ascii="宋体" w:hAnsi="宋体" w:eastAsia="宋体" w:cs="Times New Roman"/>
          <w:sz w:val="24"/>
          <w:lang w:val="en-US" w:eastAsia="zh-CN"/>
        </w:rPr>
        <w:t>室</w:t>
      </w:r>
      <w:r>
        <w:rPr>
          <w:rFonts w:hint="eastAsia" w:ascii="宋体" w:hAnsi="宋体" w:cs="Times New Roman"/>
          <w:sz w:val="24"/>
          <w:lang w:val="en-US" w:eastAsia="zh-CN"/>
        </w:rPr>
        <w:t>设备</w:t>
      </w:r>
      <w:r>
        <w:rPr>
          <w:rFonts w:hint="eastAsia" w:ascii="宋体" w:hAnsi="宋体" w:eastAsia="宋体" w:cs="Times New Roman"/>
          <w:sz w:val="24"/>
          <w:lang w:val="en-US" w:eastAsia="zh-CN"/>
        </w:rPr>
        <w:t>、</w:t>
      </w:r>
      <w:r>
        <w:rPr>
          <w:rFonts w:hint="eastAsia" w:ascii="宋体" w:hAnsi="宋体" w:cs="Times New Roman"/>
          <w:sz w:val="24"/>
          <w:lang w:val="en-US" w:eastAsia="zh-CN"/>
        </w:rPr>
        <w:t>劳动教育及科技活动场馆设备、艺术教育及活动场馆设备、体育教育及活动场馆设备、智慧校园</w:t>
      </w:r>
      <w:r>
        <w:rPr>
          <w:rFonts w:hint="eastAsia" w:ascii="宋体" w:hAnsi="宋体" w:eastAsia="宋体" w:cs="Times New Roman"/>
          <w:sz w:val="24"/>
        </w:rPr>
        <w:t>系统</w:t>
      </w:r>
      <w:r>
        <w:rPr>
          <w:rFonts w:hint="eastAsia" w:ascii="宋体" w:hAnsi="宋体" w:cs="Times New Roman"/>
          <w:sz w:val="24"/>
          <w:lang w:val="en-US" w:eastAsia="zh-CN"/>
        </w:rPr>
        <w:t>及设备</w:t>
      </w:r>
      <w:r>
        <w:rPr>
          <w:rFonts w:hint="eastAsia" w:ascii="宋体" w:hAnsi="宋体" w:cs="Times New Roman"/>
          <w:sz w:val="24"/>
          <w:lang w:eastAsia="zh-CN"/>
        </w:rPr>
        <w:t>、</w:t>
      </w:r>
      <w:r>
        <w:rPr>
          <w:rFonts w:hint="eastAsia" w:ascii="宋体" w:hAnsi="宋体" w:eastAsia="宋体" w:cs="Times New Roman"/>
          <w:sz w:val="24"/>
          <w:lang w:val="en-US" w:eastAsia="zh-CN"/>
        </w:rPr>
        <w:t>房屋智能化</w:t>
      </w:r>
      <w:r>
        <w:rPr>
          <w:rFonts w:hint="eastAsia" w:ascii="宋体" w:hAnsi="宋体" w:cs="Times New Roman"/>
          <w:sz w:val="24"/>
          <w:lang w:val="en-US" w:eastAsia="zh-CN"/>
        </w:rPr>
        <w:t>设备等</w:t>
      </w:r>
      <w:r>
        <w:rPr>
          <w:rFonts w:hint="eastAsia" w:ascii="宋体" w:hAnsi="宋体" w:eastAsia="宋体" w:cs="Times New Roman"/>
          <w:sz w:val="24"/>
        </w:rPr>
        <w:t>项目</w:t>
      </w:r>
      <w:r>
        <w:rPr>
          <w:rFonts w:hint="eastAsia" w:ascii="宋体" w:hAnsi="宋体" w:cs="Times New Roman"/>
          <w:sz w:val="24"/>
          <w:lang w:eastAsia="zh-CN"/>
        </w:rPr>
        <w:t>的</w:t>
      </w:r>
      <w:r>
        <w:rPr>
          <w:rFonts w:hint="eastAsia" w:ascii="宋体" w:hAnsi="宋体" w:eastAsia="宋体" w:cs="Times New Roman"/>
          <w:sz w:val="24"/>
          <w:lang w:val="en-US" w:eastAsia="zh-CN"/>
        </w:rPr>
        <w:t>新建、改</w:t>
      </w:r>
      <w:r>
        <w:rPr>
          <w:rFonts w:hint="eastAsia" w:ascii="宋体" w:hAnsi="宋体" w:eastAsia="宋体" w:cs="Times New Roman"/>
          <w:sz w:val="24"/>
        </w:rPr>
        <w:t>扩建</w:t>
      </w:r>
      <w:r>
        <w:rPr>
          <w:rFonts w:hint="eastAsia" w:ascii="宋体" w:hAnsi="宋体" w:cs="Times New Roman"/>
          <w:sz w:val="24"/>
          <w:lang w:eastAsia="zh-CN"/>
        </w:rPr>
        <w:t>、</w:t>
      </w:r>
      <w:r>
        <w:rPr>
          <w:rFonts w:hint="eastAsia" w:ascii="宋体" w:hAnsi="宋体" w:eastAsia="宋体" w:cs="Times New Roman"/>
          <w:sz w:val="24"/>
        </w:rPr>
        <w:t>升级维护提供咨询设计服务。</w:t>
      </w:r>
    </w:p>
    <w:p>
      <w:pPr>
        <w:numPr>
          <w:ilvl w:val="0"/>
          <w:numId w:val="1"/>
        </w:numPr>
        <w:spacing w:line="360" w:lineRule="auto"/>
        <w:rPr>
          <w:rFonts w:ascii="宋体" w:hAnsi="宋体"/>
          <w:sz w:val="24"/>
        </w:rPr>
      </w:pPr>
      <w:r>
        <w:rPr>
          <w:rFonts w:ascii="宋体" w:hAnsi="宋体"/>
          <w:sz w:val="24"/>
        </w:rPr>
        <w:t>设计服务内容</w:t>
      </w:r>
      <w:r>
        <w:rPr>
          <w:rFonts w:hint="eastAsia" w:ascii="宋体" w:hAnsi="宋体"/>
          <w:sz w:val="24"/>
          <w:lang w:eastAsia="zh-CN"/>
        </w:rPr>
        <w:t>：</w:t>
      </w:r>
    </w:p>
    <w:tbl>
      <w:tblPr>
        <w:tblStyle w:val="14"/>
        <w:tblW w:w="948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29"/>
        <w:gridCol w:w="3313"/>
        <w:gridCol w:w="5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trPr>
        <w:tc>
          <w:tcPr>
            <w:tcW w:w="1029"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331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项目</w:t>
            </w:r>
            <w:r>
              <w:rPr>
                <w:rFonts w:hint="eastAsia" w:ascii="宋体" w:hAnsi="宋体" w:cs="宋体"/>
                <w:i w:val="0"/>
                <w:iCs w:val="0"/>
                <w:color w:val="000000"/>
                <w:kern w:val="0"/>
                <w:sz w:val="28"/>
                <w:szCs w:val="28"/>
                <w:u w:val="none"/>
                <w:lang w:val="en-US" w:eastAsia="zh-CN" w:bidi="ar"/>
              </w:rPr>
              <w:t>类别</w:t>
            </w:r>
          </w:p>
        </w:tc>
        <w:tc>
          <w:tcPr>
            <w:tcW w:w="514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93" w:hRule="atLeast"/>
        </w:trPr>
        <w:tc>
          <w:tcPr>
            <w:tcW w:w="1029"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313"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理科</w:t>
            </w:r>
            <w:r>
              <w:rPr>
                <w:rFonts w:hint="eastAsia" w:ascii="宋体" w:hAnsi="宋体" w:eastAsia="宋体" w:cs="宋体"/>
                <w:i w:val="0"/>
                <w:iCs w:val="0"/>
                <w:color w:val="000000"/>
                <w:kern w:val="0"/>
                <w:sz w:val="24"/>
                <w:szCs w:val="24"/>
                <w:u w:val="none"/>
                <w:lang w:val="en-US" w:eastAsia="zh-CN" w:bidi="ar"/>
              </w:rPr>
              <w:t>实验室</w:t>
            </w:r>
            <w:r>
              <w:rPr>
                <w:rFonts w:hint="eastAsia" w:ascii="宋体" w:hAnsi="宋体" w:cs="宋体"/>
                <w:i w:val="0"/>
                <w:iCs w:val="0"/>
                <w:color w:val="000000"/>
                <w:kern w:val="0"/>
                <w:sz w:val="24"/>
                <w:szCs w:val="24"/>
                <w:u w:val="none"/>
                <w:lang w:val="en-US" w:eastAsia="zh-CN" w:bidi="ar"/>
              </w:rPr>
              <w:t>设备；</w:t>
            </w:r>
          </w:p>
          <w:p>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文科专用教室设备；</w:t>
            </w:r>
          </w:p>
          <w:p>
            <w:pPr>
              <w:keepNext w:val="0"/>
              <w:keepLines w:val="0"/>
              <w:widowControl/>
              <w:suppressLineNumbers w:val="0"/>
              <w:spacing w:before="0" w:beforeAutospacing="0" w:after="0" w:afterAutospacing="0"/>
              <w:ind w:left="0" w:right="0"/>
              <w:jc w:val="left"/>
              <w:textAlignment w:val="center"/>
              <w:rPr>
                <w:rFonts w:hint="eastAsia" w:ascii="宋体" w:hAnsi="宋体" w:cs="Times New Roman"/>
                <w:sz w:val="24"/>
                <w:lang w:val="en-US" w:eastAsia="zh-CN"/>
              </w:rPr>
            </w:pPr>
            <w:r>
              <w:rPr>
                <w:rFonts w:hint="eastAsia" w:ascii="宋体" w:hAnsi="宋体" w:cs="Times New Roman"/>
                <w:sz w:val="24"/>
                <w:lang w:val="en-US" w:eastAsia="zh-CN"/>
              </w:rPr>
              <w:t>劳动教育及科技活动场馆备；</w:t>
            </w:r>
          </w:p>
          <w:p>
            <w:pPr>
              <w:keepNext w:val="0"/>
              <w:keepLines w:val="0"/>
              <w:widowControl/>
              <w:suppressLineNumbers w:val="0"/>
              <w:spacing w:before="0" w:beforeAutospacing="0" w:after="0" w:afterAutospacing="0"/>
              <w:ind w:left="0" w:right="0"/>
              <w:jc w:val="left"/>
              <w:textAlignment w:val="center"/>
              <w:rPr>
                <w:rFonts w:hint="eastAsia" w:ascii="宋体" w:hAnsi="宋体" w:cs="Times New Roman"/>
                <w:sz w:val="24"/>
                <w:lang w:val="en-US" w:eastAsia="zh-CN"/>
              </w:rPr>
            </w:pPr>
            <w:r>
              <w:rPr>
                <w:rFonts w:hint="eastAsia" w:ascii="宋体" w:hAnsi="宋体" w:cs="Times New Roman"/>
                <w:sz w:val="24"/>
                <w:lang w:val="en-US" w:eastAsia="zh-CN"/>
              </w:rPr>
              <w:t>艺术教育及活动场馆设备；</w:t>
            </w:r>
          </w:p>
          <w:p>
            <w:pPr>
              <w:keepNext w:val="0"/>
              <w:keepLines w:val="0"/>
              <w:widowControl/>
              <w:suppressLineNumbers w:val="0"/>
              <w:spacing w:before="0" w:beforeAutospacing="0" w:after="0" w:afterAutospacing="0"/>
              <w:ind w:left="0" w:right="0"/>
              <w:jc w:val="left"/>
              <w:textAlignment w:val="center"/>
              <w:rPr>
                <w:rFonts w:hint="default" w:ascii="宋体" w:hAnsi="宋体" w:cs="Times New Roman"/>
                <w:sz w:val="24"/>
                <w:lang w:val="en-US" w:eastAsia="zh-CN"/>
              </w:rPr>
            </w:pPr>
            <w:r>
              <w:rPr>
                <w:rFonts w:hint="eastAsia" w:ascii="宋体" w:hAnsi="宋体" w:cs="Times New Roman"/>
                <w:sz w:val="24"/>
                <w:lang w:val="en-US" w:eastAsia="zh-CN"/>
              </w:rPr>
              <w:t>体育教育及活动场馆设备。</w:t>
            </w:r>
          </w:p>
        </w:tc>
        <w:tc>
          <w:tcPr>
            <w:tcW w:w="5145" w:type="dxa"/>
            <w:shd w:val="clear" w:color="auto" w:fill="auto"/>
            <w:vAlign w:val="center"/>
          </w:tcPr>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default" w:eastAsia="宋体"/>
                <w:lang w:val="en-US" w:eastAsia="zh-CN"/>
              </w:rPr>
              <w:t>1.空间布局</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default" w:eastAsia="宋体"/>
                <w:lang w:val="en-US" w:eastAsia="zh-CN"/>
              </w:rPr>
              <w:t>①、设备空间布局效果图、平面布局（安装位置）图；</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default" w:eastAsia="宋体"/>
                <w:lang w:val="en-US" w:eastAsia="zh-CN"/>
              </w:rPr>
              <w:t>②、设备选型、设备直观图；</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default" w:eastAsia="宋体"/>
                <w:lang w:val="en-US" w:eastAsia="zh-CN"/>
              </w:rPr>
              <w:t>③、简易装修施工图（水、电、风及弱电）。</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default" w:eastAsia="宋体"/>
                <w:lang w:val="en-US" w:eastAsia="zh-CN"/>
              </w:rPr>
              <w:t>2.设备技术咨询服务</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default" w:eastAsia="宋体"/>
                <w:lang w:val="en-US" w:eastAsia="zh-CN"/>
              </w:rPr>
              <w:t>①、设备清单及技术参数；</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default" w:eastAsia="宋体"/>
                <w:lang w:val="en-US" w:eastAsia="zh-CN"/>
              </w:rPr>
              <w:t>②、产品验收的方法、程序及标准。</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default" w:eastAsia="宋体"/>
                <w:lang w:val="en-US" w:eastAsia="zh-CN"/>
              </w:rPr>
              <w:t>3.造价咨询服务</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default" w:eastAsia="宋体"/>
                <w:lang w:val="en-US" w:eastAsia="zh-CN"/>
              </w:rPr>
              <w:t>4.项目验收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0" w:hRule="atLeast"/>
        </w:trPr>
        <w:tc>
          <w:tcPr>
            <w:tcW w:w="1029"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313"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Times New Roman"/>
                <w:sz w:val="24"/>
                <w:lang w:val="en-US" w:eastAsia="zh-CN"/>
              </w:rPr>
            </w:pPr>
            <w:r>
              <w:rPr>
                <w:rFonts w:hint="eastAsia" w:ascii="宋体" w:hAnsi="宋体" w:cs="Times New Roman"/>
                <w:sz w:val="24"/>
                <w:lang w:val="en-US" w:eastAsia="zh-CN"/>
              </w:rPr>
              <w:t>智慧校园</w:t>
            </w:r>
            <w:r>
              <w:rPr>
                <w:rFonts w:hint="eastAsia" w:ascii="宋体" w:hAnsi="宋体" w:eastAsia="宋体" w:cs="Times New Roman"/>
                <w:sz w:val="24"/>
              </w:rPr>
              <w:t>系统</w:t>
            </w:r>
            <w:r>
              <w:rPr>
                <w:rFonts w:hint="eastAsia" w:ascii="宋体" w:hAnsi="宋体" w:cs="Times New Roman"/>
                <w:sz w:val="24"/>
                <w:lang w:val="en-US" w:eastAsia="zh-CN"/>
              </w:rPr>
              <w:t>及设备；</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房屋智能化</w:t>
            </w:r>
            <w:r>
              <w:rPr>
                <w:rFonts w:hint="eastAsia" w:ascii="宋体" w:hAnsi="宋体" w:cs="宋体"/>
                <w:i w:val="0"/>
                <w:iCs w:val="0"/>
                <w:color w:val="000000"/>
                <w:kern w:val="0"/>
                <w:sz w:val="24"/>
                <w:szCs w:val="24"/>
                <w:u w:val="none"/>
                <w:lang w:val="en-US" w:eastAsia="zh-CN" w:bidi="ar"/>
              </w:rPr>
              <w:t>系统及设备。</w:t>
            </w:r>
          </w:p>
        </w:tc>
        <w:tc>
          <w:tcPr>
            <w:tcW w:w="5145" w:type="dxa"/>
            <w:shd w:val="clear" w:color="auto" w:fill="auto"/>
            <w:vAlign w:val="center"/>
          </w:tcPr>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1.第一阶段：</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①系统设计的依据、需求及必要性、系统建设规模的标准和等级说明；</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②系统档次定位说明；系统模式及网络架构、系统框架图、集成解决方案说明、技术标准的确定说明；</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③各系统结构、主要技术性能指标及详细功能说明；</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④系统选用的产品选型定位比较说明及选型建议；</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⑤各系统传输方式及布线的考虑说明；</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⑥各系统防雷措施说明；</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⑦各子系统点位设置考虑的原则说明等；</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⑧各子系统及系统集成的投资概算及分析。</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2.第二阶段包括但不限于以下设计内容（以满足施工需要为准）：</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①各子系统的详细功能、控制原理说明、软件功能说明、操作界面说明；</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②各子系统的详细技术性能、指标，包括主要设备的性能、参数指标；</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③各子系统点位表、各子系统设备配置清单（含设备、管线等具体数量）及说明；</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④各子系统系统图(包括系统结构图、网络拓扑图)；</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⑤各系统或设备的监控原理及电气端子接线图；</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⑥各子系统详细施工图设计，包括：消防监控机房、分控机房、网络机房、电话机房平面布置图；末端设备点位平面布置图；线槽管线平面图：设备安装图、施工大样图；文本说明等；</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⑦对土建工程，装饰装修工程提出合理要求，并与之配套、协调的施工方法；</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⑧与各专业工程设计的要求和协调。</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注：设计分为两大部分，一部分为深化设计图纸，另一部分为说明文本及软件文本。工程图纸主要包括：目录、设计说明、设备材料表、各系统点位详细的平面布置图及管线平面图、系统图、控制原理图、机房平面布置图、外线管网平面图、竖井平面布置图等。施工图纸为纸质蓝图A1版，一式八份，盖国家认可的设计出图章。</w:t>
            </w:r>
          </w:p>
          <w:p>
            <w:pPr>
              <w:pStyle w:val="13"/>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软件文本主要包括：系统集成的界面样张，软件的结构、组成、功能，系统集成的联动安排，功能详述等。</w:t>
            </w:r>
          </w:p>
          <w:p>
            <w:pPr>
              <w:pStyle w:val="13"/>
              <w:keepNext w:val="0"/>
              <w:keepLines w:val="0"/>
              <w:numPr>
                <w:ilvl w:val="0"/>
                <w:numId w:val="0"/>
              </w:numPr>
              <w:suppressLineNumbers w:val="0"/>
              <w:spacing w:before="0" w:beforeAutospacing="0" w:afterAutospacing="0" w:line="240" w:lineRule="auto"/>
              <w:ind w:right="0"/>
              <w:rPr>
                <w:rFonts w:hint="eastAsia" w:eastAsia="宋体"/>
                <w:lang w:val="en-US" w:eastAsia="zh-CN"/>
              </w:rPr>
            </w:pPr>
            <w:r>
              <w:rPr>
                <w:rFonts w:hint="eastAsia" w:eastAsia="宋体"/>
                <w:lang w:val="en-US" w:eastAsia="zh-CN"/>
              </w:rPr>
              <w:t>第二阶段设计成果还应包括提交各子系统的投资概算；为招标人信息化施工招标提供满足招标要求的“用户需求说明书”。</w:t>
            </w:r>
          </w:p>
        </w:tc>
      </w:tr>
    </w:tbl>
    <w:p>
      <w:pPr>
        <w:shd w:val="clear"/>
        <w:spacing w:line="240" w:lineRule="auto"/>
      </w:pPr>
    </w:p>
    <w:p>
      <w:pPr>
        <w:widowControl/>
        <w:numPr>
          <w:ilvl w:val="0"/>
          <w:numId w:val="2"/>
        </w:numPr>
        <w:shd w:val="clear"/>
        <w:spacing w:line="240" w:lineRule="auto"/>
        <w:ind w:right="0"/>
        <w:jc w:val="left"/>
        <w:rPr>
          <w:rFonts w:hint="eastAsia" w:ascii="宋体" w:hAnsi="宋体"/>
          <w:sz w:val="24"/>
          <w:lang w:val="en-US" w:eastAsia="zh-CN"/>
        </w:rPr>
      </w:pPr>
      <w:r>
        <w:rPr>
          <w:rFonts w:hint="eastAsia" w:ascii="宋体" w:hAnsi="宋体" w:cs="宋体"/>
          <w:b/>
          <w:color w:val="000000"/>
          <w:kern w:val="0"/>
          <w:sz w:val="24"/>
          <w:lang w:val="en-US" w:eastAsia="zh-CN"/>
        </w:rPr>
        <w:t>设计依据：</w:t>
      </w:r>
    </w:p>
    <w:p>
      <w:pPr>
        <w:pStyle w:val="11"/>
        <w:numPr>
          <w:ilvl w:val="0"/>
          <w:numId w:val="0"/>
        </w:numPr>
        <w:shd w:val="clear"/>
        <w:spacing w:line="240" w:lineRule="auto"/>
        <w:ind w:leftChars="0" w:right="0" w:rightChars="0"/>
        <w:contextualSpacing/>
        <w:rPr>
          <w:lang w:val="en-US"/>
        </w:rPr>
      </w:pPr>
      <w:r>
        <w:rPr>
          <w:rFonts w:hint="eastAsia"/>
          <w:lang w:val="en-US" w:eastAsia="zh-CN"/>
        </w:rPr>
        <w:t>1.</w:t>
      </w:r>
      <w:r>
        <w:rPr>
          <w:lang w:eastAsia="zh-CN"/>
        </w:rPr>
        <w:t>《义务教育学校美术教室建设与装备规范》</w:t>
      </w:r>
    </w:p>
    <w:p>
      <w:pPr>
        <w:pStyle w:val="11"/>
        <w:numPr>
          <w:ilvl w:val="0"/>
          <w:numId w:val="0"/>
        </w:numPr>
        <w:spacing w:line="240" w:lineRule="auto"/>
        <w:ind w:leftChars="0" w:right="0" w:rightChars="0"/>
        <w:contextualSpacing/>
        <w:rPr>
          <w:lang w:eastAsia="zh-CN"/>
        </w:rPr>
      </w:pPr>
      <w:r>
        <w:rPr>
          <w:rFonts w:hint="eastAsia"/>
          <w:lang w:val="en-US" w:eastAsia="zh-CN"/>
        </w:rPr>
        <w:t>2.</w:t>
      </w:r>
      <w:r>
        <w:rPr>
          <w:lang w:eastAsia="zh-CN"/>
        </w:rPr>
        <w:t>《义务教育学校音乐教室建设与装备规范》</w:t>
      </w:r>
    </w:p>
    <w:p>
      <w:pPr>
        <w:pStyle w:val="11"/>
        <w:numPr>
          <w:ilvl w:val="0"/>
          <w:numId w:val="0"/>
        </w:numPr>
        <w:spacing w:line="240" w:lineRule="auto"/>
        <w:ind w:leftChars="0" w:right="0" w:rightChars="0"/>
        <w:contextualSpacing/>
        <w:rPr>
          <w:rFonts w:hint="eastAsia"/>
          <w:lang w:eastAsia="zh-CN"/>
        </w:rPr>
      </w:pPr>
      <w:r>
        <w:rPr>
          <w:rFonts w:hint="eastAsia"/>
          <w:lang w:val="en-US" w:eastAsia="zh-CN"/>
        </w:rPr>
        <w:t>3.</w:t>
      </w:r>
      <w:r>
        <w:rPr>
          <w:rFonts w:hint="eastAsia"/>
          <w:lang w:eastAsia="zh-CN"/>
        </w:rPr>
        <w:t>《</w:t>
      </w:r>
      <w:r>
        <w:rPr>
          <w:rFonts w:hint="eastAsia"/>
          <w:lang w:val="en-US" w:eastAsia="zh-CN"/>
        </w:rPr>
        <w:t>小学数学教学装备配置标准</w:t>
      </w:r>
      <w:r>
        <w:rPr>
          <w:rFonts w:hint="eastAsia"/>
          <w:lang w:eastAsia="zh-CN"/>
        </w:rPr>
        <w:t>》</w:t>
      </w:r>
    </w:p>
    <w:p>
      <w:pPr>
        <w:pStyle w:val="11"/>
        <w:numPr>
          <w:ilvl w:val="0"/>
          <w:numId w:val="0"/>
        </w:numPr>
        <w:spacing w:line="240" w:lineRule="auto"/>
        <w:ind w:leftChars="0" w:right="0" w:rightChars="0"/>
        <w:contextualSpacing/>
        <w:rPr>
          <w:rFonts w:hint="eastAsia"/>
          <w:lang w:eastAsia="zh-CN"/>
        </w:rPr>
      </w:pPr>
      <w:r>
        <w:rPr>
          <w:rFonts w:hint="eastAsia"/>
          <w:lang w:val="en-US" w:eastAsia="zh-CN"/>
        </w:rPr>
        <w:t>4.</w:t>
      </w:r>
      <w:r>
        <w:rPr>
          <w:rFonts w:hint="eastAsia"/>
          <w:lang w:eastAsia="zh-CN"/>
        </w:rPr>
        <w:t>《</w:t>
      </w:r>
      <w:r>
        <w:rPr>
          <w:rFonts w:hint="eastAsia"/>
          <w:lang w:val="en-US" w:eastAsia="zh-CN"/>
        </w:rPr>
        <w:t>初中物理教学装备配置标准</w:t>
      </w:r>
      <w:r>
        <w:rPr>
          <w:rFonts w:hint="eastAsia"/>
          <w:lang w:eastAsia="zh-CN"/>
        </w:rPr>
        <w:t>》</w:t>
      </w:r>
    </w:p>
    <w:p>
      <w:pPr>
        <w:pStyle w:val="11"/>
        <w:numPr>
          <w:ilvl w:val="0"/>
          <w:numId w:val="0"/>
        </w:numPr>
        <w:spacing w:line="240" w:lineRule="auto"/>
        <w:ind w:leftChars="0" w:right="0" w:rightChars="0"/>
        <w:contextualSpacing/>
        <w:rPr>
          <w:rFonts w:hint="eastAsia"/>
          <w:lang w:eastAsia="zh-CN"/>
        </w:rPr>
      </w:pPr>
      <w:r>
        <w:rPr>
          <w:rFonts w:hint="eastAsia"/>
          <w:lang w:val="en-US" w:eastAsia="zh-CN"/>
        </w:rPr>
        <w:t>5.</w:t>
      </w:r>
      <w:r>
        <w:rPr>
          <w:rFonts w:hint="eastAsia"/>
          <w:lang w:eastAsia="zh-CN"/>
        </w:rPr>
        <w:t>《</w:t>
      </w:r>
      <w:r>
        <w:rPr>
          <w:rFonts w:hint="eastAsia"/>
          <w:lang w:val="en-US" w:eastAsia="zh-CN"/>
        </w:rPr>
        <w:t>初中化学教学装备配置标准</w:t>
      </w:r>
      <w:r>
        <w:rPr>
          <w:rFonts w:hint="eastAsia"/>
          <w:lang w:eastAsia="zh-CN"/>
        </w:rPr>
        <w:t>》</w:t>
      </w:r>
    </w:p>
    <w:p>
      <w:pPr>
        <w:pStyle w:val="11"/>
        <w:numPr>
          <w:ilvl w:val="0"/>
          <w:numId w:val="0"/>
        </w:numPr>
        <w:spacing w:line="240" w:lineRule="auto"/>
        <w:ind w:leftChars="0" w:right="0" w:rightChars="0"/>
        <w:contextualSpacing/>
        <w:rPr>
          <w:rFonts w:hint="eastAsia"/>
          <w:lang w:eastAsia="zh-CN"/>
        </w:rPr>
      </w:pPr>
      <w:r>
        <w:rPr>
          <w:rFonts w:hint="eastAsia"/>
          <w:lang w:val="en-US" w:eastAsia="zh-CN"/>
        </w:rPr>
        <w:t>6.</w:t>
      </w:r>
      <w:r>
        <w:rPr>
          <w:rFonts w:hint="eastAsia"/>
          <w:lang w:eastAsia="zh-CN"/>
        </w:rPr>
        <w:t>《</w:t>
      </w:r>
      <w:r>
        <w:rPr>
          <w:rFonts w:hint="eastAsia"/>
          <w:lang w:val="en-US" w:eastAsia="zh-CN"/>
        </w:rPr>
        <w:t>初中生物学教学装备配置标准</w:t>
      </w:r>
      <w:r>
        <w:rPr>
          <w:rFonts w:hint="eastAsia"/>
          <w:lang w:eastAsia="zh-CN"/>
        </w:rPr>
        <w:t>》</w:t>
      </w:r>
    </w:p>
    <w:p>
      <w:pPr>
        <w:pStyle w:val="11"/>
        <w:numPr>
          <w:ilvl w:val="0"/>
          <w:numId w:val="0"/>
        </w:numPr>
        <w:spacing w:line="240" w:lineRule="auto"/>
        <w:ind w:leftChars="0" w:right="0" w:rightChars="0"/>
        <w:contextualSpacing/>
        <w:rPr>
          <w:rFonts w:hint="default"/>
          <w:lang w:val="en-US" w:eastAsia="zh-CN"/>
        </w:rPr>
      </w:pPr>
      <w:r>
        <w:rPr>
          <w:rFonts w:hint="eastAsia"/>
          <w:lang w:val="en-US" w:eastAsia="zh-CN"/>
        </w:rPr>
        <w:t>7.</w:t>
      </w:r>
      <w:r>
        <w:rPr>
          <w:rFonts w:hint="eastAsia"/>
          <w:lang w:eastAsia="zh-CN"/>
        </w:rPr>
        <w:t>《</w:t>
      </w:r>
      <w:r>
        <w:rPr>
          <w:rFonts w:hint="eastAsia"/>
          <w:lang w:val="en-US" w:eastAsia="zh-CN"/>
        </w:rPr>
        <w:t>初中地理教学装备配置标准</w:t>
      </w:r>
      <w:r>
        <w:rPr>
          <w:rFonts w:hint="eastAsia"/>
          <w:lang w:eastAsia="zh-CN"/>
        </w:rPr>
        <w:t>》</w:t>
      </w:r>
    </w:p>
    <w:p>
      <w:pPr>
        <w:pStyle w:val="11"/>
        <w:numPr>
          <w:ilvl w:val="0"/>
          <w:numId w:val="0"/>
        </w:numPr>
        <w:spacing w:line="240" w:lineRule="auto"/>
        <w:ind w:leftChars="0" w:right="0" w:rightChars="0"/>
        <w:contextualSpacing/>
        <w:rPr>
          <w:lang w:val="en-US"/>
        </w:rPr>
      </w:pPr>
      <w:r>
        <w:rPr>
          <w:rFonts w:hint="eastAsia"/>
          <w:lang w:val="en-US" w:eastAsia="zh-CN"/>
        </w:rPr>
        <w:t>8.</w:t>
      </w:r>
      <w:r>
        <w:rPr>
          <w:lang w:eastAsia="zh-CN"/>
        </w:rPr>
        <w:t>《普通高中音乐教学器材配备标准》</w:t>
      </w:r>
    </w:p>
    <w:p>
      <w:pPr>
        <w:pStyle w:val="11"/>
        <w:numPr>
          <w:ilvl w:val="0"/>
          <w:numId w:val="0"/>
        </w:numPr>
        <w:spacing w:line="240" w:lineRule="auto"/>
        <w:ind w:leftChars="0" w:right="0" w:rightChars="0"/>
        <w:contextualSpacing/>
        <w:rPr>
          <w:lang w:val="en-US"/>
        </w:rPr>
      </w:pPr>
      <w:r>
        <w:rPr>
          <w:rFonts w:hint="eastAsia"/>
          <w:lang w:val="en-US" w:eastAsia="zh-CN"/>
        </w:rPr>
        <w:t>9.</w:t>
      </w:r>
      <w:r>
        <w:rPr>
          <w:lang w:eastAsia="zh-CN"/>
        </w:rPr>
        <w:t>《普通高中体育与健康教学器材配备标准》</w:t>
      </w:r>
    </w:p>
    <w:p>
      <w:pPr>
        <w:pStyle w:val="11"/>
        <w:numPr>
          <w:ilvl w:val="0"/>
          <w:numId w:val="0"/>
        </w:numPr>
        <w:spacing w:line="240" w:lineRule="auto"/>
        <w:ind w:leftChars="0" w:right="0" w:rightChars="0"/>
        <w:contextualSpacing/>
        <w:rPr>
          <w:lang w:val="en-US"/>
        </w:rPr>
      </w:pPr>
      <w:r>
        <w:rPr>
          <w:rFonts w:hint="eastAsia"/>
          <w:lang w:val="en-US" w:eastAsia="zh-CN"/>
        </w:rPr>
        <w:t>10.</w:t>
      </w:r>
      <w:r>
        <w:rPr>
          <w:lang w:eastAsia="zh-CN"/>
        </w:rPr>
        <w:t>《普通高中美术教学器材配备标准》</w:t>
      </w:r>
    </w:p>
    <w:p>
      <w:pPr>
        <w:pStyle w:val="11"/>
        <w:numPr>
          <w:ilvl w:val="0"/>
          <w:numId w:val="0"/>
        </w:numPr>
        <w:spacing w:line="240" w:lineRule="auto"/>
        <w:ind w:leftChars="0" w:right="0" w:rightChars="0"/>
        <w:contextualSpacing/>
        <w:rPr>
          <w:rFonts w:hint="default"/>
          <w:lang w:val="en-US" w:eastAsia="zh-CN"/>
        </w:rPr>
      </w:pPr>
      <w:r>
        <w:rPr>
          <w:rFonts w:hint="eastAsia"/>
          <w:lang w:val="en-US" w:eastAsia="zh-CN"/>
        </w:rPr>
        <w:t>11.</w:t>
      </w:r>
      <w:r>
        <w:rPr>
          <w:lang w:eastAsia="zh-CN"/>
        </w:rPr>
        <w:t>《高中理科教学仪器配备标准》</w:t>
      </w:r>
    </w:p>
    <w:p>
      <w:pPr>
        <w:pStyle w:val="11"/>
        <w:numPr>
          <w:ilvl w:val="0"/>
          <w:numId w:val="0"/>
        </w:numPr>
        <w:spacing w:line="240" w:lineRule="auto"/>
        <w:ind w:leftChars="0" w:right="0" w:rightChars="0"/>
        <w:contextualSpacing/>
        <w:rPr>
          <w:rFonts w:hint="eastAsia" w:ascii="宋体" w:hAnsi="宋体"/>
          <w:sz w:val="24"/>
          <w:lang w:val="en-US" w:eastAsia="zh-CN"/>
        </w:rPr>
      </w:pPr>
      <w:r>
        <w:rPr>
          <w:rFonts w:hint="eastAsia" w:ascii="宋体" w:hAnsi="宋体"/>
          <w:sz w:val="24"/>
          <w:lang w:val="en-US" w:eastAsia="zh-CN"/>
        </w:rPr>
        <w:t>12.《深圳市义务教育学校设备设施配备标准指引》</w:t>
      </w:r>
    </w:p>
    <w:p>
      <w:pPr>
        <w:pStyle w:val="11"/>
        <w:numPr>
          <w:ilvl w:val="0"/>
          <w:numId w:val="0"/>
        </w:numPr>
        <w:spacing w:line="240" w:lineRule="auto"/>
        <w:ind w:leftChars="0" w:right="0" w:rightChars="0"/>
        <w:contextualSpacing/>
        <w:rPr>
          <w:lang w:val="en-US"/>
        </w:rPr>
      </w:pPr>
      <w:r>
        <w:rPr>
          <w:rFonts w:hint="eastAsia"/>
          <w:lang w:val="en-US" w:eastAsia="zh-CN"/>
        </w:rPr>
        <w:t>13.</w:t>
      </w:r>
      <w:r>
        <w:rPr>
          <w:lang w:eastAsia="zh-CN"/>
        </w:rPr>
        <w:t>《深圳市普通高中学校设备设施配备标准指引》</w:t>
      </w:r>
    </w:p>
    <w:p>
      <w:pPr>
        <w:pStyle w:val="11"/>
        <w:numPr>
          <w:ilvl w:val="0"/>
          <w:numId w:val="0"/>
        </w:numPr>
        <w:spacing w:line="240" w:lineRule="auto"/>
        <w:ind w:leftChars="0" w:right="0" w:rightChars="0"/>
        <w:contextualSpacing/>
        <w:rPr>
          <w:lang w:val="en-US"/>
        </w:rPr>
      </w:pPr>
      <w:r>
        <w:rPr>
          <w:rFonts w:hint="eastAsia"/>
          <w:lang w:val="en-US" w:eastAsia="zh-CN"/>
        </w:rPr>
        <w:t>14.</w:t>
      </w:r>
      <w:r>
        <w:rPr>
          <w:lang w:eastAsia="zh-CN"/>
        </w:rPr>
        <w:t>《厅堂扩声系统设计规范》</w:t>
      </w:r>
      <w:r>
        <w:rPr>
          <w:lang w:val="en-US"/>
        </w:rPr>
        <w:t>GB50371</w:t>
      </w:r>
    </w:p>
    <w:p>
      <w:pPr>
        <w:pStyle w:val="11"/>
        <w:numPr>
          <w:ilvl w:val="0"/>
          <w:numId w:val="0"/>
        </w:numPr>
        <w:spacing w:line="240" w:lineRule="auto"/>
        <w:ind w:leftChars="0" w:right="0" w:rightChars="0"/>
        <w:contextualSpacing/>
        <w:rPr>
          <w:lang w:val="en-US"/>
        </w:rPr>
      </w:pPr>
      <w:r>
        <w:rPr>
          <w:rFonts w:hint="eastAsia"/>
          <w:lang w:val="en-US" w:eastAsia="zh-CN"/>
        </w:rPr>
        <w:t>15.</w:t>
      </w:r>
      <w:r>
        <w:rPr>
          <w:lang w:eastAsia="zh-CN"/>
        </w:rPr>
        <w:t>《剧场建筑设计规范》</w:t>
      </w:r>
      <w:r>
        <w:rPr>
          <w:lang w:val="en-US"/>
        </w:rPr>
        <w:t>JGJ 57-2016</w:t>
      </w:r>
    </w:p>
    <w:p>
      <w:pPr>
        <w:pStyle w:val="11"/>
        <w:numPr>
          <w:ilvl w:val="0"/>
          <w:numId w:val="0"/>
        </w:numPr>
        <w:spacing w:line="240" w:lineRule="auto"/>
        <w:ind w:leftChars="0" w:right="0" w:rightChars="0"/>
        <w:contextualSpacing/>
        <w:rPr>
          <w:lang w:val="en-US"/>
        </w:rPr>
      </w:pPr>
      <w:r>
        <w:rPr>
          <w:rFonts w:hint="eastAsia"/>
          <w:lang w:val="en-US" w:eastAsia="zh-CN"/>
        </w:rPr>
        <w:t>16.</w:t>
      </w:r>
      <w:r>
        <w:rPr>
          <w:lang w:eastAsia="zh-CN"/>
        </w:rPr>
        <w:t xml:space="preserve">《智慧校园总体框架》 </w:t>
      </w:r>
      <w:r>
        <w:rPr>
          <w:lang w:val="en-US"/>
        </w:rPr>
        <w:t>GBT_36342-2018</w:t>
      </w:r>
    </w:p>
    <w:p>
      <w:pPr>
        <w:pStyle w:val="11"/>
        <w:numPr>
          <w:ilvl w:val="0"/>
          <w:numId w:val="0"/>
        </w:numPr>
        <w:spacing w:line="240" w:lineRule="auto"/>
        <w:ind w:leftChars="0" w:right="0" w:rightChars="0"/>
        <w:contextualSpacing/>
        <w:rPr>
          <w:lang w:val="en-US"/>
        </w:rPr>
      </w:pPr>
      <w:r>
        <w:rPr>
          <w:rFonts w:hint="eastAsia"/>
          <w:lang w:val="en-US" w:eastAsia="zh-CN"/>
        </w:rPr>
        <w:t xml:space="preserve">17. </w:t>
      </w:r>
      <w:r>
        <w:rPr>
          <w:rFonts w:hint="eastAsia"/>
          <w:lang w:val="en-US"/>
        </w:rPr>
        <w:t>中小学数字校园建设规范（试行）</w:t>
      </w:r>
      <w:r>
        <w:rPr>
          <w:rFonts w:hint="eastAsia"/>
          <w:lang w:val="en-US" w:eastAsia="zh-CN"/>
        </w:rPr>
        <w:t>（2018-4）</w:t>
      </w:r>
    </w:p>
    <w:p>
      <w:pPr>
        <w:pStyle w:val="11"/>
        <w:numPr>
          <w:ilvl w:val="0"/>
          <w:numId w:val="0"/>
        </w:numPr>
        <w:spacing w:line="240" w:lineRule="auto"/>
        <w:ind w:leftChars="0" w:right="0" w:rightChars="0"/>
        <w:contextualSpacing/>
        <w:rPr>
          <w:lang w:val="en-US"/>
        </w:rPr>
      </w:pPr>
      <w:r>
        <w:rPr>
          <w:rFonts w:hint="eastAsia"/>
          <w:lang w:val="en-US" w:eastAsia="zh-CN"/>
        </w:rPr>
        <w:t xml:space="preserve">18. </w:t>
      </w:r>
      <w:r>
        <w:rPr>
          <w:rFonts w:hint="eastAsia"/>
          <w:lang w:val="en-US"/>
        </w:rPr>
        <w:t>教育部关于新形势下进一步做好普通中小学装备工作的意见</w:t>
      </w:r>
      <w:r>
        <w:rPr>
          <w:rFonts w:hint="eastAsia"/>
          <w:lang w:val="en-US" w:eastAsia="zh-CN"/>
        </w:rPr>
        <w:t>（2016）</w:t>
      </w:r>
    </w:p>
    <w:p>
      <w:pPr>
        <w:pStyle w:val="11"/>
        <w:numPr>
          <w:ilvl w:val="0"/>
          <w:numId w:val="0"/>
        </w:numPr>
        <w:spacing w:line="240" w:lineRule="auto"/>
        <w:ind w:leftChars="0" w:right="0" w:rightChars="0"/>
        <w:contextualSpacing/>
        <w:rPr>
          <w:lang w:val="en-US"/>
        </w:rPr>
      </w:pPr>
      <w:r>
        <w:rPr>
          <w:rFonts w:hint="eastAsia"/>
          <w:lang w:val="en-US" w:eastAsia="zh-CN"/>
        </w:rPr>
        <w:t xml:space="preserve">19. </w:t>
      </w:r>
      <w:r>
        <w:rPr>
          <w:rFonts w:hint="eastAsia"/>
          <w:lang w:val="en-US"/>
        </w:rPr>
        <w:t>智慧教育平台基本功能要求</w:t>
      </w:r>
    </w:p>
    <w:p>
      <w:pPr>
        <w:pStyle w:val="11"/>
        <w:numPr>
          <w:ilvl w:val="0"/>
          <w:numId w:val="0"/>
        </w:numPr>
        <w:spacing w:line="240" w:lineRule="auto"/>
        <w:ind w:leftChars="0" w:right="0" w:rightChars="0"/>
        <w:contextualSpacing/>
        <w:rPr>
          <w:rFonts w:hint="eastAsia"/>
          <w:lang w:val="en-US"/>
        </w:rPr>
      </w:pPr>
      <w:r>
        <w:rPr>
          <w:rFonts w:hint="eastAsia"/>
          <w:lang w:val="en-US" w:eastAsia="zh-CN"/>
        </w:rPr>
        <w:t xml:space="preserve">20. </w:t>
      </w:r>
      <w:r>
        <w:rPr>
          <w:rFonts w:hint="eastAsia"/>
          <w:lang w:val="en-US"/>
        </w:rPr>
        <w:t>智慧教育平台数字教育资源技术要求</w:t>
      </w:r>
    </w:p>
    <w:p>
      <w:pPr>
        <w:pStyle w:val="11"/>
        <w:numPr>
          <w:ilvl w:val="0"/>
          <w:numId w:val="0"/>
        </w:numPr>
        <w:spacing w:line="240" w:lineRule="auto"/>
        <w:ind w:leftChars="0" w:right="0" w:rightChars="0"/>
        <w:contextualSpacing/>
        <w:rPr>
          <w:rFonts w:hint="eastAsia" w:ascii="Times New Roman" w:hAnsi="Times New Roman" w:eastAsia="宋体" w:cs="Times New Roman"/>
          <w:kern w:val="0"/>
          <w:sz w:val="24"/>
          <w:szCs w:val="24"/>
          <w:lang w:val="en-US" w:eastAsia="zh-CN" w:bidi="ar"/>
        </w:rPr>
      </w:pPr>
      <w:r>
        <w:rPr>
          <w:rFonts w:hint="eastAsia" w:cs="Times New Roman"/>
          <w:kern w:val="0"/>
          <w:sz w:val="24"/>
          <w:szCs w:val="24"/>
          <w:lang w:val="en-US" w:eastAsia="zh-CN" w:bidi="ar"/>
        </w:rPr>
        <w:t>21</w:t>
      </w:r>
      <w:r>
        <w:rPr>
          <w:rFonts w:hint="eastAsia" w:ascii="Times New Roman" w:hAnsi="Times New Roman" w:eastAsia="宋体" w:cs="Times New Roman"/>
          <w:kern w:val="0"/>
          <w:sz w:val="24"/>
          <w:szCs w:val="24"/>
          <w:lang w:val="en-US" w:eastAsia="zh-CN" w:bidi="ar"/>
        </w:rPr>
        <w:t>.《信息系统工程造价指导（2019版）》</w:t>
      </w:r>
    </w:p>
    <w:p>
      <w:pPr>
        <w:pStyle w:val="11"/>
        <w:numPr>
          <w:ilvl w:val="0"/>
          <w:numId w:val="0"/>
        </w:numPr>
        <w:spacing w:line="240" w:lineRule="auto"/>
        <w:ind w:leftChars="0" w:right="0" w:rightChars="0"/>
        <w:contextualSpacing/>
        <w:rPr>
          <w:rFonts w:hint="default" w:ascii="Times New Roman" w:hAnsi="Times New Roman" w:eastAsia="宋体" w:cs="Times New Roman"/>
          <w:kern w:val="0"/>
          <w:sz w:val="24"/>
          <w:szCs w:val="24"/>
          <w:lang w:val="en-US" w:eastAsia="zh-CN" w:bidi="ar"/>
        </w:rPr>
      </w:pPr>
      <w:r>
        <w:rPr>
          <w:rFonts w:hint="eastAsia" w:cs="Times New Roman"/>
          <w:kern w:val="0"/>
          <w:sz w:val="24"/>
          <w:szCs w:val="24"/>
          <w:lang w:val="en-US" w:eastAsia="zh-CN" w:bidi="ar"/>
        </w:rPr>
        <w:t>22</w:t>
      </w:r>
      <w:r>
        <w:rPr>
          <w:rFonts w:hint="eastAsia" w:ascii="Times New Roman" w:hAnsi="Times New Roman" w:eastAsia="宋体" w:cs="Times New Roman"/>
          <w:kern w:val="0"/>
          <w:sz w:val="24"/>
          <w:szCs w:val="24"/>
          <w:lang w:val="en-US" w:eastAsia="zh-CN" w:bidi="ar"/>
        </w:rPr>
        <w:t>.《电子建设工程概（预）算编制办法及计价依据》</w:t>
      </w:r>
    </w:p>
    <w:p>
      <w:pPr>
        <w:spacing w:line="360" w:lineRule="auto"/>
        <w:ind w:firstLine="480" w:firstLineChars="200"/>
        <w:rPr>
          <w:rFonts w:ascii="宋体" w:hAnsi="宋体"/>
          <w:sz w:val="24"/>
          <w:highlight w:val="yellow"/>
        </w:rPr>
      </w:pPr>
      <w:r>
        <w:rPr>
          <w:rFonts w:hint="eastAsia" w:ascii="宋体" w:hAnsi="宋体" w:cs="Times New Roman"/>
          <w:b w:val="0"/>
          <w:bCs w:val="0"/>
          <w:kern w:val="2"/>
          <w:sz w:val="24"/>
          <w:szCs w:val="24"/>
          <w:highlight w:val="yellow"/>
          <w:lang w:val="en-US" w:eastAsia="zh-CN" w:bidi="ar-SA"/>
        </w:rPr>
        <w:t>项目设计的依据包含但不仅限于以上标准及规范。</w:t>
      </w:r>
    </w:p>
    <w:p>
      <w:pPr>
        <w:spacing w:line="360" w:lineRule="auto"/>
        <w:ind w:firstLine="480" w:firstLineChars="200"/>
        <w:rPr>
          <w:rFonts w:ascii="宋体" w:hAnsi="宋体"/>
          <w:sz w:val="24"/>
        </w:rPr>
      </w:pPr>
      <w:r>
        <w:rPr>
          <w:rFonts w:ascii="宋体" w:hAnsi="宋体"/>
          <w:sz w:val="24"/>
        </w:rPr>
        <w:t>全部设计在设计过程中</w:t>
      </w:r>
      <w:r>
        <w:rPr>
          <w:rFonts w:hint="eastAsia" w:ascii="宋体" w:hAnsi="宋体"/>
          <w:sz w:val="24"/>
          <w:lang w:val="en-US" w:eastAsia="zh-CN"/>
        </w:rPr>
        <w:t>应根据项目属性</w:t>
      </w:r>
      <w:r>
        <w:rPr>
          <w:rFonts w:ascii="宋体" w:hAnsi="宋体"/>
          <w:sz w:val="24"/>
        </w:rPr>
        <w:t>采用适用的标准、规范、规程、技术规定</w:t>
      </w:r>
      <w:r>
        <w:rPr>
          <w:rFonts w:hint="eastAsia" w:ascii="宋体" w:hAnsi="宋体"/>
          <w:sz w:val="24"/>
          <w:lang w:eastAsia="zh-CN"/>
        </w:rPr>
        <w:t>。</w:t>
      </w:r>
      <w:r>
        <w:rPr>
          <w:rFonts w:ascii="宋体" w:hAnsi="宋体"/>
          <w:sz w:val="24"/>
        </w:rPr>
        <w:t>全部设计文件应优先采用中国及深圳市现行的标准、规范、规程、技术规定和专业要求。</w:t>
      </w:r>
    </w:p>
    <w:p>
      <w:pPr>
        <w:spacing w:line="360" w:lineRule="auto"/>
        <w:ind w:firstLine="480" w:firstLineChars="200"/>
        <w:rPr>
          <w:rFonts w:ascii="宋体" w:hAnsi="宋体"/>
          <w:sz w:val="24"/>
        </w:rPr>
      </w:pPr>
      <w:r>
        <w:rPr>
          <w:rFonts w:ascii="宋体" w:hAnsi="宋体"/>
          <w:sz w:val="24"/>
        </w:rPr>
        <w:t>各阶段设计文件和设计服务必须满足现行国家、行业及地方的规范、规程、标准、规定，当上述规范、规程、标准、规定存在不一致时，按高标准执行，当地相关部门另有规定的除外。如在技术上须采用其他国家和地区的技术规范或做特别处理，中标人应事先与采购方探讨其必要性，并征得其书面同意，然后申报相关政府主管部门批准认定，并应通过政府有关部门组织的相关审查及技术论证。</w:t>
      </w:r>
    </w:p>
    <w:p>
      <w:pPr>
        <w:pStyle w:val="12"/>
        <w:ind w:left="0" w:leftChars="0" w:firstLine="422" w:firstLineChars="200"/>
        <w:rPr>
          <w:rFonts w:hint="default"/>
          <w:lang w:val="en-US" w:eastAsia="zh-CN"/>
        </w:rPr>
      </w:pPr>
    </w:p>
    <w:p>
      <w:pPr>
        <w:widowControl/>
        <w:numPr>
          <w:ilvl w:val="0"/>
          <w:numId w:val="2"/>
        </w:numPr>
        <w:spacing w:line="360" w:lineRule="auto"/>
        <w:ind w:left="0" w:leftChars="0" w:right="0" w:firstLine="0" w:firstLineChars="0"/>
        <w:jc w:val="left"/>
        <w:rPr>
          <w:rFonts w:hint="eastAsia" w:ascii="宋体" w:hAnsi="宋体" w:cs="宋体"/>
          <w:b/>
          <w:color w:val="000000"/>
          <w:kern w:val="0"/>
          <w:sz w:val="24"/>
          <w:lang w:val="en-US" w:eastAsia="zh-CN"/>
        </w:rPr>
      </w:pPr>
      <w:r>
        <w:rPr>
          <w:rFonts w:hint="eastAsia" w:ascii="宋体" w:hAnsi="宋体" w:cs="宋体"/>
          <w:b/>
          <w:color w:val="000000"/>
          <w:kern w:val="0"/>
          <w:sz w:val="24"/>
          <w:lang w:val="en-US" w:eastAsia="zh-CN"/>
        </w:rPr>
        <w:t>项目管理要求：</w:t>
      </w:r>
    </w:p>
    <w:p>
      <w:pPr>
        <w:widowControl/>
        <w:numPr>
          <w:ilvl w:val="0"/>
          <w:numId w:val="3"/>
        </w:numPr>
        <w:spacing w:line="360" w:lineRule="auto"/>
        <w:ind w:leftChars="0" w:right="0" w:rightChars="0" w:firstLine="480" w:firstLineChars="200"/>
        <w:jc w:val="left"/>
        <w:rPr>
          <w:rFonts w:ascii="宋体" w:hAnsi="宋体"/>
          <w:sz w:val="24"/>
          <w:highlight w:val="none"/>
        </w:rPr>
      </w:pPr>
      <w:r>
        <w:rPr>
          <w:rFonts w:ascii="宋体" w:hAnsi="宋体"/>
          <w:sz w:val="24"/>
          <w:highlight w:val="none"/>
        </w:rPr>
        <w:t>中标后，项目班子人员不得</w:t>
      </w:r>
      <w:r>
        <w:rPr>
          <w:rFonts w:hint="eastAsia" w:ascii="宋体" w:hAnsi="宋体"/>
          <w:sz w:val="24"/>
          <w:highlight w:val="none"/>
          <w:lang w:val="en-US" w:eastAsia="zh-CN"/>
        </w:rPr>
        <w:t>擅自</w:t>
      </w:r>
      <w:r>
        <w:rPr>
          <w:rFonts w:ascii="宋体" w:hAnsi="宋体"/>
          <w:sz w:val="24"/>
          <w:highlight w:val="none"/>
        </w:rPr>
        <w:t>更换，</w:t>
      </w:r>
      <w:r>
        <w:rPr>
          <w:rFonts w:hint="eastAsia" w:ascii="宋体" w:hAnsi="宋体"/>
          <w:sz w:val="24"/>
          <w:highlight w:val="none"/>
          <w:lang w:val="en-US" w:eastAsia="zh-CN"/>
        </w:rPr>
        <w:t>如需变更，需经过校方同意，且替换人员需与被替换人员资格、经验相当。</w:t>
      </w:r>
      <w:r>
        <w:rPr>
          <w:rFonts w:ascii="宋体" w:hAnsi="宋体"/>
          <w:sz w:val="24"/>
          <w:highlight w:val="none"/>
        </w:rPr>
        <w:t>否则，</w:t>
      </w:r>
      <w:r>
        <w:rPr>
          <w:rFonts w:hint="eastAsia" w:ascii="宋体" w:hAnsi="宋体"/>
          <w:sz w:val="24"/>
          <w:highlight w:val="none"/>
          <w:lang w:val="en-US" w:eastAsia="zh-CN"/>
        </w:rPr>
        <w:t>赔偿违约金1000元/人次，擅自更换专业设计人员的赔偿违约金500元/人次且整改，拒不整改，</w:t>
      </w:r>
      <w:r>
        <w:rPr>
          <w:rFonts w:ascii="宋体" w:hAnsi="宋体"/>
          <w:sz w:val="24"/>
          <w:highlight w:val="none"/>
        </w:rPr>
        <w:t>将取消</w:t>
      </w:r>
      <w:r>
        <w:rPr>
          <w:rFonts w:hint="eastAsia" w:ascii="宋体" w:hAnsi="宋体"/>
          <w:sz w:val="24"/>
          <w:highlight w:val="none"/>
          <w:lang w:val="en-US" w:eastAsia="zh-CN"/>
        </w:rPr>
        <w:t>入围</w:t>
      </w:r>
      <w:r>
        <w:rPr>
          <w:rFonts w:ascii="宋体" w:hAnsi="宋体"/>
          <w:sz w:val="24"/>
          <w:highlight w:val="none"/>
        </w:rPr>
        <w:t>资格，依次由下一家替补单位中标。</w:t>
      </w:r>
    </w:p>
    <w:p>
      <w:pPr>
        <w:widowControl/>
        <w:numPr>
          <w:ilvl w:val="0"/>
          <w:numId w:val="0"/>
        </w:numPr>
        <w:spacing w:line="360" w:lineRule="auto"/>
        <w:ind w:right="0" w:rightChars="0"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rPr>
        <w:t>各项设计须达到施工图深度：须根据业主要求进行深化设计，设计须考虑室内设计的要求、机电综合管线的排布，设计成果须能满足室内设计关于效果和吊顶标高的要求；</w:t>
      </w:r>
    </w:p>
    <w:p>
      <w:pPr>
        <w:widowControl/>
        <w:numPr>
          <w:ilvl w:val="0"/>
          <w:numId w:val="0"/>
        </w:numPr>
        <w:spacing w:line="360" w:lineRule="auto"/>
        <w:ind w:right="0" w:firstLine="480" w:firstLineChars="200"/>
        <w:jc w:val="left"/>
        <w:rPr>
          <w:rFonts w:hint="eastAsia" w:ascii="宋体" w:hAnsi="宋体" w:cs="宋体"/>
          <w:color w:val="000000"/>
          <w:kern w:val="0"/>
          <w:sz w:val="24"/>
          <w:highlight w:val="none"/>
        </w:rPr>
      </w:pPr>
      <w:r>
        <w:rPr>
          <w:rFonts w:hint="eastAsia" w:ascii="宋体" w:hAnsi="宋体" w:cs="宋体"/>
          <w:kern w:val="0"/>
          <w:sz w:val="24"/>
          <w:highlight w:val="none"/>
          <w:lang w:val="en-US" w:eastAsia="zh-CN"/>
        </w:rPr>
        <w:t>3</w:t>
      </w:r>
      <w:r>
        <w:rPr>
          <w:rFonts w:hint="eastAsia" w:ascii="宋体" w:hAnsi="宋体" w:cs="宋体"/>
          <w:kern w:val="0"/>
          <w:sz w:val="24"/>
          <w:highlight w:val="none"/>
          <w:lang w:eastAsia="zh-CN"/>
        </w:rPr>
        <w:t>、</w:t>
      </w:r>
      <w:r>
        <w:rPr>
          <w:rFonts w:hint="eastAsia" w:ascii="宋体" w:hAnsi="宋体" w:cs="宋体"/>
          <w:kern w:val="0"/>
          <w:sz w:val="24"/>
          <w:highlight w:val="none"/>
        </w:rPr>
        <w:t>项目设计期间，涉及到的相关专业的各专业设计工程师每个项目至少要勘察现场一次</w:t>
      </w:r>
      <w:r>
        <w:rPr>
          <w:rFonts w:hint="eastAsia" w:ascii="宋体" w:hAnsi="宋体" w:cs="宋体"/>
          <w:kern w:val="0"/>
          <w:sz w:val="24"/>
          <w:highlight w:val="none"/>
          <w:lang w:val="en-US" w:eastAsia="zh-CN"/>
        </w:rPr>
        <w:t>并做好勘察日记</w:t>
      </w:r>
      <w:r>
        <w:rPr>
          <w:rFonts w:hint="eastAsia" w:ascii="宋体" w:hAnsi="宋体" w:cs="宋体"/>
          <w:kern w:val="0"/>
          <w:sz w:val="24"/>
          <w:highlight w:val="none"/>
        </w:rPr>
        <w:t>。</w:t>
      </w:r>
    </w:p>
    <w:p>
      <w:pPr>
        <w:widowControl/>
        <w:spacing w:line="360" w:lineRule="auto"/>
        <w:ind w:right="0" w:firstLine="480" w:firstLineChars="200"/>
        <w:jc w:val="left"/>
        <w:rPr>
          <w:rFonts w:ascii="宋体" w:hAnsi="宋体" w:cs="宋体"/>
          <w:kern w:val="0"/>
          <w:sz w:val="24"/>
          <w:highlight w:val="none"/>
        </w:rPr>
      </w:pPr>
      <w:r>
        <w:rPr>
          <w:rFonts w:hint="eastAsia" w:ascii="宋体" w:hAnsi="宋体" w:cs="宋体"/>
          <w:kern w:val="0"/>
          <w:sz w:val="24"/>
          <w:highlight w:val="none"/>
          <w:lang w:val="en-US" w:eastAsia="zh-CN"/>
        </w:rPr>
        <w:t>4</w:t>
      </w:r>
      <w:r>
        <w:rPr>
          <w:rFonts w:hint="eastAsia" w:ascii="宋体" w:hAnsi="宋体" w:cs="宋体"/>
          <w:kern w:val="0"/>
          <w:sz w:val="24"/>
          <w:highlight w:val="none"/>
        </w:rPr>
        <w:t>、</w:t>
      </w:r>
      <w:r>
        <w:rPr>
          <w:rFonts w:hint="eastAsia" w:hAnsi="宋体"/>
          <w:kern w:val="0"/>
          <w:szCs w:val="21"/>
        </w:rPr>
        <w:t>★</w:t>
      </w:r>
      <w:r>
        <w:rPr>
          <w:rFonts w:hint="eastAsia" w:ascii="宋体" w:hAnsi="宋体" w:cs="宋体"/>
          <w:kern w:val="0"/>
          <w:sz w:val="24"/>
          <w:highlight w:val="none"/>
        </w:rPr>
        <w:t>设计的成果中，不得使用由设计单位所有或拥有知识产权的独家排他性产品，同时选用的产品至少有三家同档次备选品牌；</w:t>
      </w:r>
    </w:p>
    <w:p>
      <w:pPr>
        <w:widowControl/>
        <w:spacing w:line="360" w:lineRule="auto"/>
        <w:ind w:left="0" w:right="0" w:firstLine="480" w:firstLineChars="200"/>
        <w:jc w:val="left"/>
        <w:rPr>
          <w:rFonts w:hint="eastAsia" w:ascii="宋体" w:hAnsi="宋体" w:cs="宋体"/>
          <w:kern w:val="0"/>
          <w:sz w:val="24"/>
          <w:highlight w:val="none"/>
        </w:rPr>
      </w:pPr>
      <w:r>
        <w:rPr>
          <w:rFonts w:hint="eastAsia" w:ascii="宋体" w:hAnsi="宋体" w:cs="宋体"/>
          <w:kern w:val="0"/>
          <w:sz w:val="24"/>
          <w:highlight w:val="none"/>
          <w:lang w:val="en-US" w:eastAsia="zh-CN"/>
        </w:rPr>
        <w:t>5</w:t>
      </w:r>
      <w:r>
        <w:rPr>
          <w:rFonts w:hint="eastAsia" w:ascii="宋体" w:hAnsi="宋体" w:cs="宋体"/>
          <w:kern w:val="0"/>
          <w:sz w:val="24"/>
          <w:highlight w:val="none"/>
        </w:rPr>
        <w:t>、设计单位所提交的所有过程文件和最终成果，建设单位均拥有全部的知识产权和所有权，设计单位须确保提交的所有过程文件和最终成果，均不存在与其他任何单位有相关产权和所有权方面的纠纷，建设单位不承担任何关于设计单位与其他单位的产权连带责任；</w:t>
      </w:r>
    </w:p>
    <w:p>
      <w:pPr>
        <w:widowControl/>
        <w:spacing w:line="360" w:lineRule="auto"/>
        <w:ind w:left="0" w:right="0" w:firstLine="480" w:firstLineChars="200"/>
        <w:jc w:val="left"/>
        <w:rPr>
          <w:rFonts w:hint="eastAsia" w:ascii="宋体" w:hAnsi="宋体" w:cs="宋体"/>
          <w:kern w:val="0"/>
          <w:sz w:val="24"/>
          <w:highlight w:val="none"/>
        </w:rPr>
      </w:pPr>
      <w:r>
        <w:rPr>
          <w:rFonts w:hint="eastAsia" w:ascii="宋体" w:hAnsi="宋体" w:cs="宋体"/>
          <w:kern w:val="0"/>
          <w:sz w:val="24"/>
          <w:highlight w:val="none"/>
          <w:lang w:val="en-US" w:eastAsia="zh-CN"/>
        </w:rPr>
        <w:t>6</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如需</w:t>
      </w:r>
      <w:r>
        <w:rPr>
          <w:rFonts w:hint="eastAsia" w:ascii="宋体" w:hAnsi="宋体" w:cs="宋体"/>
          <w:kern w:val="0"/>
          <w:sz w:val="24"/>
          <w:highlight w:val="none"/>
        </w:rPr>
        <w:t>设计单位出具的设计图纸，需有国家注册的对应专业工程师审核签字（盖章），不满足要求时，设计单位需无条件修改直到满足甲方审核要求为止。</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lang w:val="en-US" w:eastAsia="zh-CN"/>
        </w:rPr>
        <w:t>7</w:t>
      </w:r>
      <w:r>
        <w:rPr>
          <w:rFonts w:hint="eastAsia" w:ascii="宋体" w:hAnsi="宋体" w:cs="宋体"/>
          <w:kern w:val="0"/>
          <w:sz w:val="24"/>
          <w:highlight w:val="none"/>
        </w:rPr>
        <w:t>、设计交底、设计修改及施工期间的服务：待确定工程施工单位后，设计单位须进行设计交底并根据交底纪要进行图纸完善，在施工和调试期间，须定期进行现场指导和配合，协助建设单位进行工地巡检。</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lang w:val="en-US" w:eastAsia="zh-CN"/>
        </w:rPr>
        <w:t>8</w:t>
      </w:r>
      <w:r>
        <w:rPr>
          <w:rFonts w:hint="eastAsia" w:ascii="宋体" w:hAnsi="宋体" w:cs="宋体"/>
          <w:kern w:val="0"/>
          <w:sz w:val="24"/>
          <w:highlight w:val="none"/>
          <w:lang w:eastAsia="zh-CN"/>
        </w:rPr>
        <w:t>、</w:t>
      </w:r>
      <w:r>
        <w:rPr>
          <w:rFonts w:hint="eastAsia" w:ascii="宋体" w:hAnsi="宋体" w:cs="宋体"/>
          <w:kern w:val="0"/>
          <w:sz w:val="24"/>
          <w:highlight w:val="none"/>
        </w:rPr>
        <w:t>工程施工期间，设计方需提供技术咨询服务、现场问题处理，如有修改、变更等，设计方需在甲方通知24小时内到位并在3天内提供修改意见及施工图等，费用已包含在取费包干的设计费中，不再增加。甲方提前一天通知（紧急情况随时通知）设计方参加工程验收、监理例会及工程例会、汇报等会议，设计单位不得迟到或缺席会议的。</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lang w:eastAsia="zh-CN"/>
        </w:rPr>
        <w:t>、</w:t>
      </w:r>
      <w:r>
        <w:rPr>
          <w:rFonts w:hint="eastAsia" w:ascii="宋体" w:hAnsi="宋体"/>
          <w:sz w:val="24"/>
        </w:rPr>
        <w:t>若中标单位服务质量满足不了甲方要求,甲方有权</w:t>
      </w:r>
      <w:r>
        <w:rPr>
          <w:rFonts w:hint="eastAsia" w:ascii="宋体" w:hAnsi="宋体"/>
          <w:sz w:val="24"/>
          <w:lang w:val="en-US" w:eastAsia="zh-CN"/>
        </w:rPr>
        <w:t>解除</w:t>
      </w:r>
      <w:r>
        <w:rPr>
          <w:rFonts w:hint="eastAsia" w:ascii="宋体" w:hAnsi="宋体"/>
          <w:sz w:val="24"/>
        </w:rPr>
        <w:t>设计合同，由中标候选单位(按中标排序确定)补上，以下情况作为废除中标资格依据：</w:t>
      </w:r>
    </w:p>
    <w:p>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不能按甲方设计任务书设计时间节点完成；</w:t>
      </w:r>
    </w:p>
    <w:p>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设计图纸深度不能满足造价及施工要求；</w:t>
      </w:r>
    </w:p>
    <w:p>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由于对现场勘察不清及同使用部门沟通不全导致项目漏项及设计内容错误，对甲方造成损失；</w:t>
      </w:r>
    </w:p>
    <w:p>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rPr>
        <w:t>设计图纸不能满足消防设计规范及其它相关规范，严重违背国家设计规范标准；</w:t>
      </w:r>
    </w:p>
    <w:p>
      <w:pPr>
        <w:pStyle w:val="12"/>
        <w:ind w:left="0" w:leftChars="0" w:firstLine="0" w:firstLineChars="0"/>
        <w:rPr>
          <w:rFonts w:hint="eastAsia"/>
        </w:rPr>
      </w:pPr>
    </w:p>
    <w:p>
      <w:pPr>
        <w:pStyle w:val="2"/>
        <w:rPr>
          <w:sz w:val="28"/>
          <w:szCs w:val="28"/>
        </w:rPr>
      </w:pPr>
      <w:r>
        <w:rPr>
          <w:sz w:val="28"/>
          <w:szCs w:val="28"/>
        </w:rPr>
        <w:t>评标信息</w:t>
      </w:r>
    </w:p>
    <w:p>
      <w:pPr>
        <w:spacing w:line="400" w:lineRule="exact"/>
        <w:ind w:left="1050" w:hanging="1050" w:hangingChars="500"/>
        <w:rPr>
          <w:rFonts w:hint="eastAsia"/>
          <w:szCs w:val="21"/>
        </w:rPr>
      </w:pPr>
    </w:p>
    <w:p>
      <w:pPr>
        <w:spacing w:line="400" w:lineRule="exact"/>
        <w:ind w:left="1050" w:hanging="1050" w:hangingChars="500"/>
        <w:rPr>
          <w:rFonts w:ascii="宋体" w:hAnsi="宋体" w:cs="宋体"/>
          <w:szCs w:val="21"/>
        </w:rPr>
      </w:pPr>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w:t>
      </w:r>
      <w:r>
        <w:rPr>
          <w:rFonts w:hint="eastAsia" w:ascii="宋体" w:hAnsi="宋体" w:cs="宋体"/>
          <w:szCs w:val="21"/>
        </w:rPr>
        <w:t>。本项目推荐候选入围供应商数量为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w:t>
      </w:r>
      <w:r>
        <w:rPr>
          <w:rFonts w:hint="eastAsia" w:ascii="宋体" w:hAnsi="宋体" w:cs="宋体"/>
          <w:b/>
          <w:szCs w:val="21"/>
          <w:u w:val="single"/>
        </w:rPr>
        <w:t xml:space="preserve"> </w:t>
      </w:r>
      <w:r>
        <w:rPr>
          <w:rFonts w:hint="eastAsia" w:ascii="宋体" w:hAnsi="宋体" w:cs="宋体"/>
          <w:szCs w:val="21"/>
        </w:rPr>
        <w:t>家，入围供应商数量为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3</w:t>
      </w:r>
      <w:r>
        <w:rPr>
          <w:rFonts w:hint="eastAsia" w:ascii="宋体" w:hAnsi="宋体" w:cs="宋体"/>
          <w:b/>
          <w:szCs w:val="21"/>
          <w:u w:val="single"/>
        </w:rPr>
        <w:t xml:space="preserve"> </w:t>
      </w:r>
      <w:r>
        <w:rPr>
          <w:rFonts w:hint="eastAsia" w:ascii="宋体" w:hAnsi="宋体" w:cs="宋体"/>
          <w:szCs w:val="21"/>
        </w:rPr>
        <w:t>家。</w:t>
      </w:r>
    </w:p>
    <w:p>
      <w:pPr>
        <w:pStyle w:val="2"/>
        <w:jc w:val="both"/>
      </w:pPr>
      <w:r>
        <w:rPr>
          <w:rFonts w:hint="eastAsia"/>
        </w:rPr>
        <w:t>评标方法</w:t>
      </w:r>
    </w:p>
    <w:p>
      <w:pPr>
        <w:ind w:firstLine="420"/>
      </w:pPr>
      <w:r>
        <w:rPr>
          <w:rFonts w:hint="eastAsia"/>
        </w:rPr>
        <w:t>综合评分法（新价格分算法），是指投标文件满足招标文件全部实质性要求，且按照评审因素的量化指标评审得分最高的投标人为中标候选人的评标方法。</w:t>
      </w:r>
    </w:p>
    <w:p>
      <w:pPr>
        <w:ind w:firstLine="420"/>
        <w:rPr>
          <w:rFonts w:hint="eastAsia"/>
        </w:rPr>
      </w:pPr>
    </w:p>
    <w:p>
      <w:pPr>
        <w:ind w:firstLine="420"/>
        <w:rPr>
          <w:rFonts w:hint="eastAsia"/>
        </w:rPr>
      </w:pPr>
      <w:r>
        <w:rPr>
          <w:rFonts w:hint="eastAsia"/>
        </w:rPr>
        <w:t xml:space="preserve"> 价格分计算方法：</w:t>
      </w:r>
    </w:p>
    <w:p>
      <w:pPr>
        <w:ind w:firstLine="420"/>
        <w:rPr>
          <w:rFonts w:hint="eastAsia"/>
        </w:rPr>
      </w:pPr>
      <w:r>
        <w:rPr>
          <w:rFonts w:hint="eastAsia"/>
        </w:rPr>
        <w:t>采用低价优先法计算，即满足招标文件要求且投标价格最低的投标报价为评标基准价，其价格分为满分。其他投标人的价格分统一按照下列公式计算：</w:t>
      </w:r>
    </w:p>
    <w:p>
      <w:pPr>
        <w:ind w:firstLine="420"/>
      </w:pPr>
      <w:r>
        <w:t xml:space="preserve"> </w:t>
      </w:r>
      <w:r>
        <w:rPr>
          <w:rFonts w:hint="eastAsia"/>
        </w:rPr>
        <w:t xml:space="preserve">投标报价得分=(评标基准价／投标报价)×100 </w:t>
      </w:r>
    </w:p>
    <w:p>
      <w:pPr>
        <w:ind w:firstLine="420"/>
      </w:pPr>
    </w:p>
    <w:p>
      <w:pPr>
        <w:ind w:firstLine="420"/>
        <w:rPr>
          <w:rFonts w:hint="eastAsia"/>
        </w:rPr>
      </w:pPr>
      <w:r>
        <w:rPr>
          <w:rFonts w:hint="eastAsia"/>
        </w:rPr>
        <w:t>评标总得分＝F1×A1＋F2×A2＋……＋Fn×An F1、F2……Fn 分别为各项评审因素的得分；A1、A2、……An 分别为各项评审因素所占的权重(A1＋A2＋……＋An＝1)。 评标过程中，不得去掉报价中的最高报价和最低报价。</w:t>
      </w:r>
    </w:p>
    <w:p>
      <w:pPr>
        <w:ind w:firstLine="420"/>
        <w:rPr>
          <w:rFonts w:hint="eastAsia"/>
        </w:rPr>
      </w:pPr>
    </w:p>
    <w:p>
      <w:pPr>
        <w:ind w:firstLine="420"/>
        <w:rPr>
          <w:rFonts w:hint="eastAsia"/>
        </w:rPr>
      </w:pPr>
    </w:p>
    <w:p>
      <w:pPr>
        <w:ind w:firstLine="420"/>
        <w:rPr>
          <w:rFonts w:hint="eastAsia"/>
        </w:rPr>
      </w:pPr>
    </w:p>
    <w:p>
      <w:pPr>
        <w:ind w:firstLine="420"/>
        <w:rPr>
          <w:rFonts w:hint="eastAsia"/>
        </w:rPr>
      </w:pPr>
    </w:p>
    <w:tbl>
      <w:tblPr>
        <w:tblStyle w:val="14"/>
        <w:tblW w:w="9091"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07"/>
        <w:gridCol w:w="1784"/>
        <w:gridCol w:w="679"/>
        <w:gridCol w:w="5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center"/>
          </w:tcPr>
          <w:p>
            <w:pPr>
              <w:keepNext w:val="0"/>
              <w:keepLines w:val="0"/>
              <w:suppressLineNumbers w:val="0"/>
              <w:spacing w:before="0" w:beforeAutospacing="0" w:after="0" w:afterAutospacing="0"/>
              <w:ind w:left="0" w:right="0"/>
              <w:jc w:val="center"/>
              <w:rPr>
                <w:rFonts w:hint="eastAsia"/>
                <w:b/>
                <w:highlight w:val="none"/>
              </w:rPr>
            </w:pPr>
            <w:bookmarkStart w:id="8" w:name="OLE_LINK4"/>
            <w:bookmarkStart w:id="9" w:name="OLE_LINK2"/>
            <w:bookmarkStart w:id="10" w:name="OLE_LINK3"/>
            <w:r>
              <w:rPr>
                <w:rFonts w:hint="eastAsia"/>
                <w:b/>
                <w:highlight w:val="none"/>
              </w:rPr>
              <w:t>序号</w:t>
            </w:r>
          </w:p>
        </w:tc>
        <w:tc>
          <w:tcPr>
            <w:tcW w:w="3170" w:type="dxa"/>
            <w:gridSpan w:val="3"/>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评分项</w:t>
            </w:r>
          </w:p>
        </w:tc>
        <w:tc>
          <w:tcPr>
            <w:tcW w:w="5282"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center"/>
          </w:tcPr>
          <w:p>
            <w:pPr>
              <w:keepNext w:val="0"/>
              <w:keepLines w:val="0"/>
              <w:suppressLineNumbers w:val="0"/>
              <w:spacing w:before="0" w:beforeAutospacing="0" w:after="0" w:afterAutospacing="0"/>
              <w:ind w:left="0" w:right="0"/>
              <w:jc w:val="center"/>
              <w:rPr>
                <w:rFonts w:hint="eastAsia"/>
                <w:highlight w:val="none"/>
              </w:rPr>
            </w:pPr>
            <w:r>
              <w:rPr>
                <w:rFonts w:hint="eastAsia"/>
                <w:highlight w:val="none"/>
              </w:rPr>
              <w:t>1</w:t>
            </w:r>
          </w:p>
        </w:tc>
        <w:tc>
          <w:tcPr>
            <w:tcW w:w="3170" w:type="dxa"/>
            <w:gridSpan w:val="3"/>
            <w:noWrap w:val="0"/>
            <w:vAlign w:val="center"/>
          </w:tcPr>
          <w:p>
            <w:pPr>
              <w:keepNext w:val="0"/>
              <w:keepLines w:val="0"/>
              <w:suppressLineNumbers w:val="0"/>
              <w:spacing w:before="0" w:beforeAutospacing="0" w:after="0" w:afterAutospacing="0"/>
              <w:ind w:left="0" w:right="0"/>
              <w:jc w:val="center"/>
              <w:rPr>
                <w:rFonts w:hint="eastAsia"/>
                <w:highlight w:val="none"/>
              </w:rPr>
            </w:pPr>
            <w:r>
              <w:rPr>
                <w:rFonts w:hint="eastAsia"/>
                <w:highlight w:val="none"/>
              </w:rPr>
              <w:t>价格</w:t>
            </w:r>
          </w:p>
        </w:tc>
        <w:tc>
          <w:tcPr>
            <w:tcW w:w="5282" w:type="dxa"/>
            <w:noWrap w:val="0"/>
            <w:vAlign w:val="center"/>
          </w:tcPr>
          <w:p>
            <w:pPr>
              <w:keepNext w:val="0"/>
              <w:keepLines w:val="0"/>
              <w:suppressLineNumbers w:val="0"/>
              <w:spacing w:before="0" w:beforeAutospacing="0" w:after="0" w:afterAutospacing="0"/>
              <w:ind w:left="0" w:right="0"/>
              <w:jc w:val="center"/>
              <w:rPr>
                <w:rFonts w:hint="default"/>
                <w:highlight w:val="none"/>
                <w:lang w:val="en-US"/>
              </w:rPr>
            </w:pPr>
            <w:r>
              <w:rPr>
                <w:rFonts w:hint="eastAsia"/>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restart"/>
            <w:noWrap w:val="0"/>
            <w:vAlign w:val="center"/>
          </w:tcPr>
          <w:p>
            <w:pPr>
              <w:keepNext w:val="0"/>
              <w:keepLines w:val="0"/>
              <w:suppressLineNumbers w:val="0"/>
              <w:spacing w:before="0" w:beforeAutospacing="0" w:after="0" w:afterAutospacing="0"/>
              <w:ind w:left="0" w:right="0"/>
              <w:jc w:val="center"/>
              <w:rPr>
                <w:rFonts w:hint="eastAsia"/>
                <w:highlight w:val="none"/>
              </w:rPr>
            </w:pPr>
            <w:r>
              <w:rPr>
                <w:rFonts w:hint="eastAsia"/>
                <w:highlight w:val="none"/>
              </w:rPr>
              <w:t>2</w:t>
            </w:r>
          </w:p>
        </w:tc>
        <w:tc>
          <w:tcPr>
            <w:tcW w:w="3170" w:type="dxa"/>
            <w:gridSpan w:val="3"/>
            <w:noWrap w:val="0"/>
            <w:vAlign w:val="center"/>
          </w:tcPr>
          <w:p>
            <w:pPr>
              <w:keepNext w:val="0"/>
              <w:keepLines w:val="0"/>
              <w:suppressLineNumbers w:val="0"/>
              <w:spacing w:before="0" w:beforeAutospacing="0" w:after="0" w:afterAutospacing="0"/>
              <w:ind w:left="0" w:right="0"/>
              <w:jc w:val="center"/>
              <w:rPr>
                <w:rFonts w:hint="eastAsia"/>
                <w:highlight w:val="none"/>
              </w:rPr>
            </w:pPr>
            <w:r>
              <w:rPr>
                <w:rFonts w:hint="eastAsia"/>
                <w:highlight w:val="none"/>
              </w:rPr>
              <w:t>技术部分</w:t>
            </w:r>
          </w:p>
        </w:tc>
        <w:tc>
          <w:tcPr>
            <w:tcW w:w="5282" w:type="dxa"/>
            <w:noWrap w:val="0"/>
            <w:vAlign w:val="center"/>
          </w:tcPr>
          <w:p>
            <w:pPr>
              <w:keepNext w:val="0"/>
              <w:keepLines w:val="0"/>
              <w:suppressLineNumbers w:val="0"/>
              <w:spacing w:before="0" w:beforeAutospacing="0" w:after="0" w:afterAutospacing="0"/>
              <w:ind w:left="0" w:right="0"/>
              <w:jc w:val="center"/>
              <w:rPr>
                <w:rFonts w:hint="default" w:eastAsia="宋体"/>
                <w:highlight w:val="none"/>
                <w:lang w:val="en-US" w:eastAsia="zh-CN"/>
              </w:rPr>
            </w:pPr>
            <w:r>
              <w:rPr>
                <w:rFonts w:hint="eastAsia"/>
                <w:highlight w:val="no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07"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序号</w:t>
            </w:r>
          </w:p>
        </w:tc>
        <w:tc>
          <w:tcPr>
            <w:tcW w:w="1784"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评分因素</w:t>
            </w:r>
          </w:p>
        </w:tc>
        <w:tc>
          <w:tcPr>
            <w:tcW w:w="679"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权重</w:t>
            </w:r>
          </w:p>
        </w:tc>
        <w:tc>
          <w:tcPr>
            <w:tcW w:w="5282"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639"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07" w:type="dxa"/>
            <w:noWrap w:val="0"/>
            <w:vAlign w:val="center"/>
          </w:tcPr>
          <w:p>
            <w:pPr>
              <w:keepNext w:val="0"/>
              <w:keepLines w:val="0"/>
              <w:suppressLineNumbers w:val="0"/>
              <w:spacing w:before="0" w:beforeAutospacing="0" w:after="0" w:afterAutospacing="0"/>
              <w:ind w:left="0" w:right="0"/>
              <w:jc w:val="center"/>
              <w:rPr>
                <w:rFonts w:hint="default" w:eastAsia="宋体"/>
                <w:b/>
                <w:highlight w:val="none"/>
                <w:lang w:val="en-US" w:eastAsia="zh-CN"/>
              </w:rPr>
            </w:pPr>
            <w:r>
              <w:rPr>
                <w:rFonts w:hint="eastAsia"/>
                <w:b/>
                <w:highlight w:val="none"/>
                <w:lang w:val="en-US" w:eastAsia="zh-CN"/>
              </w:rPr>
              <w:t>1</w:t>
            </w:r>
          </w:p>
        </w:tc>
        <w:tc>
          <w:tcPr>
            <w:tcW w:w="1784"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ascii="Times New Roman" w:hAnsi="Times New Roman" w:eastAsia="宋体" w:cs="宋体"/>
                <w:color w:val="000000"/>
                <w:kern w:val="2"/>
                <w:sz w:val="21"/>
                <w:szCs w:val="21"/>
                <w:highlight w:val="none"/>
                <w:lang w:val="en-US" w:eastAsia="zh-CN" w:bidi="ar"/>
              </w:rPr>
              <w:t>实施方案</w:t>
            </w:r>
          </w:p>
        </w:tc>
        <w:tc>
          <w:tcPr>
            <w:tcW w:w="679" w:type="dxa"/>
            <w:noWrap w:val="0"/>
            <w:vAlign w:val="center"/>
          </w:tcPr>
          <w:p>
            <w:pPr>
              <w:keepNext w:val="0"/>
              <w:keepLines w:val="0"/>
              <w:suppressLineNumbers w:val="0"/>
              <w:spacing w:before="0" w:beforeAutospacing="0" w:after="0" w:afterAutospacing="0"/>
              <w:ind w:left="0" w:right="0"/>
              <w:jc w:val="center"/>
              <w:rPr>
                <w:rFonts w:hint="default"/>
                <w:b/>
                <w:highlight w:val="none"/>
                <w:lang w:val="en-US"/>
              </w:rPr>
            </w:pPr>
            <w:r>
              <w:rPr>
                <w:rFonts w:hint="eastAsia"/>
                <w:b/>
                <w:highlight w:val="none"/>
                <w:lang w:val="en-US" w:eastAsia="zh-CN"/>
              </w:rPr>
              <w:t>12</w:t>
            </w:r>
          </w:p>
        </w:tc>
        <w:tc>
          <w:tcPr>
            <w:tcW w:w="5282" w:type="dxa"/>
            <w:noWrap w:val="0"/>
            <w:vAlign w:val="center"/>
          </w:tcPr>
          <w:p>
            <w:pPr>
              <w:pStyle w:val="18"/>
              <w:keepNext w:val="0"/>
              <w:keepLines w:val="0"/>
              <w:suppressLineNumbers w:val="0"/>
              <w:spacing w:before="0" w:beforeAutospacing="0" w:after="0" w:afterAutospacing="0"/>
              <w:ind w:left="0" w:right="0"/>
              <w:rPr>
                <w:rFonts w:hint="eastAsia" w:ascii="宋体" w:hAnsi="宋体" w:cs="宋体"/>
                <w:b/>
                <w:szCs w:val="21"/>
                <w:highlight w:val="none"/>
              </w:rPr>
            </w:pPr>
            <w:r>
              <w:rPr>
                <w:rFonts w:hint="eastAsia" w:ascii="宋体" w:hAnsi="宋体" w:cs="宋体"/>
                <w:b/>
                <w:szCs w:val="21"/>
                <w:highlight w:val="none"/>
              </w:rPr>
              <w:t>评审标准：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default" w:ascii="宋体" w:hAnsi="宋体" w:eastAsia="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）项目任务、特征分析；</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default" w:ascii="宋体" w:hAnsi="宋体" w:eastAsia="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）项目实施的组织架构；</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default" w:ascii="宋体" w:hAnsi="宋体" w:eastAsia="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）质量保障措施（需包括但不仅限于项目设计依据，</w:t>
            </w:r>
            <w:r>
              <w:rPr>
                <w:rFonts w:hint="eastAsia" w:ascii="宋体" w:hAnsi="宋体"/>
                <w:szCs w:val="21"/>
                <w:highlight w:val="none"/>
                <w:lang w:eastAsia="zh-CN"/>
              </w:rPr>
              <w:t>设计方案的合理性、前瞻性</w:t>
            </w:r>
            <w:r>
              <w:rPr>
                <w:rFonts w:hint="eastAsia" w:ascii="宋体" w:hAnsi="宋体" w:eastAsia="宋体" w:cs="宋体"/>
                <w:kern w:val="2"/>
                <w:sz w:val="21"/>
                <w:szCs w:val="21"/>
                <w:highlight w:val="none"/>
                <w:lang w:val="en-US" w:eastAsia="zh-CN" w:bidi="ar-SA"/>
              </w:rPr>
              <w:t>、完整性、经济性，工作流程，进度管理措施等）；</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default" w:ascii="宋体" w:hAnsi="宋体" w:eastAsia="宋体"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）应急方案全面，具有科学性、合理性、可行性；</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评分标准：</w:t>
            </w:r>
          </w:p>
          <w:p>
            <w:pPr>
              <w:pStyle w:val="18"/>
              <w:keepNext w:val="0"/>
              <w:keepLines w:val="0"/>
              <w:suppressLineNumbers w:val="0"/>
              <w:spacing w:before="0" w:beforeAutospacing="0" w:after="0" w:afterAutospacing="0" w:line="240" w:lineRule="auto"/>
              <w:ind w:left="0" w:right="0"/>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1.满足</w:t>
            </w:r>
            <w:r>
              <w:rPr>
                <w:rFonts w:hint="eastAsia" w:ascii="宋体" w:hAnsi="宋体" w:eastAsia="宋体" w:cs="宋体"/>
                <w:kern w:val="2"/>
                <w:sz w:val="21"/>
                <w:szCs w:val="21"/>
                <w:highlight w:val="none"/>
                <w:lang w:val="en-US" w:eastAsia="zh-CN" w:bidi="ar-SA"/>
              </w:rPr>
              <w:t>以上</w:t>
            </w:r>
            <w:r>
              <w:rPr>
                <w:rFonts w:hint="eastAsia" w:ascii="宋体" w:hAnsi="宋体" w:cs="宋体"/>
                <w:kern w:val="2"/>
                <w:sz w:val="21"/>
                <w:szCs w:val="21"/>
                <w:highlight w:val="none"/>
                <w:lang w:val="en-US" w:eastAsia="zh-CN" w:bidi="ar-SA"/>
              </w:rPr>
              <w:t>一</w:t>
            </w:r>
            <w:r>
              <w:rPr>
                <w:rFonts w:hint="eastAsia" w:ascii="宋体" w:hAnsi="宋体" w:eastAsia="宋体" w:cs="宋体"/>
                <w:kern w:val="2"/>
                <w:sz w:val="21"/>
                <w:szCs w:val="21"/>
                <w:highlight w:val="none"/>
                <w:lang w:val="en-US" w:eastAsia="zh-CN" w:bidi="ar-SA"/>
              </w:rPr>
              <w:t>项要求</w:t>
            </w:r>
            <w:r>
              <w:rPr>
                <w:rFonts w:hint="eastAsia" w:ascii="宋体" w:hAnsi="宋体" w:cs="宋体"/>
                <w:kern w:val="2"/>
                <w:sz w:val="21"/>
                <w:szCs w:val="21"/>
                <w:highlight w:val="none"/>
                <w:lang w:val="en-US" w:eastAsia="zh-CN" w:bidi="ar-SA"/>
              </w:rPr>
              <w:t>的</w:t>
            </w:r>
            <w:r>
              <w:rPr>
                <w:rFonts w:hint="eastAsia" w:ascii="宋体" w:hAnsi="宋体" w:eastAsia="宋体" w:cs="宋体"/>
                <w:kern w:val="2"/>
                <w:sz w:val="21"/>
                <w:szCs w:val="21"/>
                <w:highlight w:val="none"/>
                <w:lang w:val="en-US" w:eastAsia="zh-CN" w:bidi="ar-SA"/>
              </w:rPr>
              <w:t>得</w:t>
            </w:r>
            <w:r>
              <w:rPr>
                <w:rFonts w:hint="eastAsia" w:ascii="宋体" w:hAnsi="宋体" w:cs="宋体"/>
                <w:kern w:val="2"/>
                <w:sz w:val="21"/>
                <w:szCs w:val="21"/>
                <w:highlight w:val="none"/>
                <w:lang w:val="en-US" w:eastAsia="zh-CN" w:bidi="ar-SA"/>
              </w:rPr>
              <w:t>2分</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本项满分8分</w:t>
            </w:r>
            <w:r>
              <w:rPr>
                <w:rFonts w:hint="eastAsia" w:ascii="宋体" w:hAnsi="宋体" w:eastAsia="宋体" w:cs="宋体"/>
                <w:kern w:val="2"/>
                <w:sz w:val="21"/>
                <w:szCs w:val="21"/>
                <w:highlight w:val="none"/>
                <w:lang w:val="en-US" w:eastAsia="zh-CN" w:bidi="ar-SA"/>
              </w:rPr>
              <w:t>。</w:t>
            </w:r>
          </w:p>
          <w:p>
            <w:pPr>
              <w:pStyle w:val="18"/>
              <w:keepNext w:val="0"/>
              <w:keepLines w:val="0"/>
              <w:suppressLineNumbers w:val="0"/>
              <w:spacing w:before="0" w:beforeAutospacing="0" w:after="0" w:afterAutospacing="0" w:line="240" w:lineRule="auto"/>
              <w:ind w:left="0" w:right="0"/>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满足以上四项，进行横向对比，优得</w:t>
            </w:r>
            <w:r>
              <w:rPr>
                <w:rFonts w:hint="eastAsia" w:ascii="宋体" w:hAnsi="宋体"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分，良得</w:t>
            </w: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分，中</w:t>
            </w: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分，其余情况不得分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07" w:type="dxa"/>
            <w:noWrap w:val="0"/>
            <w:vAlign w:val="center"/>
          </w:tcPr>
          <w:p>
            <w:pPr>
              <w:keepNext w:val="0"/>
              <w:keepLines w:val="0"/>
              <w:suppressLineNumbers w:val="0"/>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2</w:t>
            </w:r>
          </w:p>
        </w:tc>
        <w:tc>
          <w:tcPr>
            <w:tcW w:w="1784"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kern w:val="2"/>
                <w:sz w:val="21"/>
                <w:szCs w:val="21"/>
                <w:highlight w:val="none"/>
                <w:lang w:val="en-US" w:eastAsia="zh-CN" w:bidi="ar"/>
              </w:rPr>
            </w:pPr>
            <w:r>
              <w:rPr>
                <w:rFonts w:hint="eastAsia" w:cs="宋体"/>
                <w:color w:val="000000"/>
                <w:kern w:val="2"/>
                <w:sz w:val="21"/>
                <w:szCs w:val="21"/>
                <w:highlight w:val="none"/>
                <w:lang w:val="en-US" w:eastAsia="zh-CN" w:bidi="ar"/>
              </w:rPr>
              <w:t>主要的标准、规范的说明</w:t>
            </w:r>
          </w:p>
        </w:tc>
        <w:tc>
          <w:tcPr>
            <w:tcW w:w="679" w:type="dxa"/>
            <w:noWrap w:val="0"/>
            <w:vAlign w:val="center"/>
          </w:tcPr>
          <w:p>
            <w:pPr>
              <w:keepNext w:val="0"/>
              <w:keepLines w:val="0"/>
              <w:suppressLineNumbers w:val="0"/>
              <w:spacing w:before="0" w:beforeAutospacing="0" w:after="0" w:afterAutospacing="0"/>
              <w:ind w:left="0" w:right="0"/>
              <w:jc w:val="center"/>
              <w:rPr>
                <w:rFonts w:hint="default"/>
                <w:highlight w:val="none"/>
                <w:lang w:val="en-US"/>
              </w:rPr>
            </w:pPr>
            <w:r>
              <w:rPr>
                <w:rFonts w:hint="eastAsia" w:cs="Times New Roman"/>
                <w:b/>
                <w:highlight w:val="none"/>
                <w:lang w:val="en-US" w:eastAsia="zh-CN"/>
              </w:rPr>
              <w:t>10</w:t>
            </w:r>
          </w:p>
        </w:tc>
        <w:tc>
          <w:tcPr>
            <w:tcW w:w="5282" w:type="dxa"/>
            <w:noWrap w:val="0"/>
            <w:vAlign w:val="top"/>
          </w:tcPr>
          <w:p>
            <w:pPr>
              <w:keepNext w:val="0"/>
              <w:keepLines w:val="0"/>
              <w:widowControl/>
              <w:suppressLineNumbers w:val="0"/>
              <w:spacing w:before="0" w:beforeAutospacing="0" w:after="0" w:afterAutospacing="0"/>
              <w:ind w:left="0" w:right="0"/>
              <w:rPr>
                <w:rFonts w:hint="eastAsia" w:ascii="宋体" w:hAnsi="宋体" w:cs="宋体"/>
                <w:b/>
                <w:bCs/>
                <w:szCs w:val="21"/>
                <w:highlight w:val="none"/>
              </w:rPr>
            </w:pPr>
            <w:r>
              <w:rPr>
                <w:rFonts w:hint="eastAsia" w:ascii="宋体" w:hAnsi="宋体" w:cs="宋体"/>
                <w:b/>
                <w:bCs/>
                <w:szCs w:val="21"/>
                <w:highlight w:val="none"/>
              </w:rPr>
              <w:t>（一）评审内容：</w:t>
            </w:r>
          </w:p>
          <w:p>
            <w:pPr>
              <w:keepNext w:val="0"/>
              <w:keepLines w:val="0"/>
              <w:widowControl/>
              <w:suppressLineNumbers w:val="0"/>
              <w:spacing w:before="0" w:beforeAutospacing="0" w:after="0" w:afterAutospacing="0"/>
              <w:ind w:left="0" w:right="0"/>
              <w:rPr>
                <w:rFonts w:hint="eastAsia" w:ascii="宋体" w:hAnsi="宋体"/>
                <w:szCs w:val="21"/>
                <w:highlight w:val="none"/>
              </w:rPr>
            </w:pPr>
            <w:r>
              <w:rPr>
                <w:rFonts w:hint="eastAsia" w:ascii="宋体" w:hAnsi="宋体"/>
                <w:szCs w:val="21"/>
                <w:highlight w:val="none"/>
              </w:rPr>
              <w:t>对</w:t>
            </w:r>
            <w:r>
              <w:rPr>
                <w:rFonts w:hint="eastAsia" w:ascii="宋体" w:hAnsi="宋体"/>
                <w:szCs w:val="21"/>
                <w:highlight w:val="none"/>
                <w:lang w:val="en-US" w:eastAsia="zh-CN"/>
              </w:rPr>
              <w:t>本项目所涉及的国家、行业及地方相关标准</w:t>
            </w:r>
            <w:r>
              <w:rPr>
                <w:rFonts w:hint="eastAsia" w:ascii="宋体" w:hAnsi="宋体"/>
                <w:szCs w:val="21"/>
                <w:highlight w:val="none"/>
              </w:rPr>
              <w:t>的说明。</w:t>
            </w:r>
          </w:p>
          <w:p>
            <w:pPr>
              <w:keepNext w:val="0"/>
              <w:keepLines w:val="0"/>
              <w:widowControl/>
              <w:suppressLineNumbers w:val="0"/>
              <w:spacing w:before="0" w:beforeAutospacing="0" w:after="0" w:afterAutospacing="0"/>
              <w:ind w:left="0" w:right="0"/>
              <w:rPr>
                <w:rFonts w:hint="eastAsia" w:ascii="宋体" w:hAnsi="宋体" w:cs="宋体"/>
                <w:b/>
                <w:bCs/>
                <w:szCs w:val="21"/>
                <w:highlight w:val="none"/>
              </w:rPr>
            </w:pPr>
            <w:r>
              <w:rPr>
                <w:rFonts w:hint="eastAsia" w:ascii="宋体" w:hAnsi="宋体" w:cs="宋体"/>
                <w:b/>
                <w:bCs/>
                <w:szCs w:val="21"/>
                <w:highlight w:val="none"/>
              </w:rPr>
              <w:t>（二）评审标准：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szCs w:val="21"/>
                <w:highlight w:val="none"/>
                <w:lang w:eastAsia="zh-CN"/>
              </w:rPr>
            </w:pPr>
            <w:r>
              <w:rPr>
                <w:rFonts w:hint="eastAsia" w:ascii="宋体" w:hAnsi="宋体"/>
                <w:szCs w:val="21"/>
                <w:highlight w:val="none"/>
                <w:lang w:val="en-US" w:eastAsia="zh-CN"/>
              </w:rPr>
              <w:t>横向对比，</w:t>
            </w:r>
            <w:r>
              <w:rPr>
                <w:rFonts w:hint="eastAsia" w:ascii="宋体" w:hAnsi="宋体"/>
                <w:szCs w:val="21"/>
                <w:highlight w:val="none"/>
              </w:rPr>
              <w:t>优</w:t>
            </w:r>
            <w:r>
              <w:rPr>
                <w:rFonts w:hint="eastAsia" w:ascii="宋体" w:hAnsi="宋体"/>
                <w:szCs w:val="21"/>
                <w:highlight w:val="none"/>
                <w:lang w:val="en-US" w:eastAsia="zh-CN"/>
              </w:rPr>
              <w:t>10</w:t>
            </w:r>
            <w:r>
              <w:rPr>
                <w:rFonts w:hint="eastAsia" w:ascii="宋体" w:hAnsi="宋体"/>
                <w:szCs w:val="21"/>
                <w:highlight w:val="none"/>
              </w:rPr>
              <w:t>分、良</w:t>
            </w:r>
            <w:r>
              <w:rPr>
                <w:rFonts w:hint="eastAsia" w:ascii="宋体" w:hAnsi="宋体"/>
                <w:szCs w:val="21"/>
                <w:highlight w:val="none"/>
                <w:lang w:val="en-US" w:eastAsia="zh-CN"/>
              </w:rPr>
              <w:t>7</w:t>
            </w:r>
            <w:r>
              <w:rPr>
                <w:rFonts w:hint="eastAsia" w:ascii="宋体" w:hAnsi="宋体"/>
                <w:szCs w:val="21"/>
                <w:highlight w:val="none"/>
              </w:rPr>
              <w:t>分、中</w:t>
            </w:r>
            <w:r>
              <w:rPr>
                <w:rFonts w:hint="eastAsia" w:ascii="宋体" w:hAnsi="宋体"/>
                <w:szCs w:val="21"/>
                <w:highlight w:val="none"/>
                <w:lang w:val="en-US" w:eastAsia="zh-CN"/>
              </w:rPr>
              <w:t>4</w:t>
            </w:r>
            <w:r>
              <w:rPr>
                <w:rFonts w:hint="eastAsia" w:ascii="宋体" w:hAnsi="宋体"/>
                <w:szCs w:val="21"/>
                <w:highlight w:val="none"/>
              </w:rPr>
              <w:t>分、差1分。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639"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07" w:type="dxa"/>
            <w:noWrap w:val="0"/>
            <w:vAlign w:val="center"/>
          </w:tcPr>
          <w:p>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3</w:t>
            </w:r>
          </w:p>
        </w:tc>
        <w:tc>
          <w:tcPr>
            <w:tcW w:w="1784"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宋体"/>
                <w:color w:val="000000"/>
                <w:kern w:val="2"/>
                <w:sz w:val="21"/>
                <w:szCs w:val="21"/>
                <w:highlight w:val="none"/>
                <w:lang w:val="en-US" w:eastAsia="zh-CN" w:bidi="ar"/>
              </w:rPr>
            </w:pPr>
            <w:r>
              <w:rPr>
                <w:rFonts w:hint="eastAsia" w:ascii="宋体" w:hAnsi="宋体"/>
                <w:szCs w:val="21"/>
                <w:highlight w:val="none"/>
                <w:lang w:val="en-US" w:eastAsia="zh-CN"/>
              </w:rPr>
              <w:t>产品及</w:t>
            </w:r>
            <w:r>
              <w:rPr>
                <w:rFonts w:hint="eastAsia" w:ascii="宋体" w:hAnsi="宋体"/>
                <w:szCs w:val="21"/>
                <w:highlight w:val="none"/>
              </w:rPr>
              <w:t>市场情况的说明</w:t>
            </w:r>
          </w:p>
        </w:tc>
        <w:tc>
          <w:tcPr>
            <w:tcW w:w="679"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highlight w:val="none"/>
                <w:lang w:val="en-US" w:eastAsia="zh-CN"/>
              </w:rPr>
            </w:pPr>
            <w:r>
              <w:rPr>
                <w:rFonts w:hint="eastAsia" w:cs="Times New Roman"/>
                <w:b/>
                <w:highlight w:val="none"/>
                <w:lang w:val="en-US" w:eastAsia="zh-CN"/>
              </w:rPr>
              <w:t>10</w:t>
            </w:r>
          </w:p>
        </w:tc>
        <w:tc>
          <w:tcPr>
            <w:tcW w:w="5282" w:type="dxa"/>
            <w:noWrap w:val="0"/>
            <w:vAlign w:val="top"/>
          </w:tcPr>
          <w:p>
            <w:pPr>
              <w:keepNext w:val="0"/>
              <w:keepLines w:val="0"/>
              <w:widowControl/>
              <w:suppressLineNumbers w:val="0"/>
              <w:spacing w:before="0" w:beforeAutospacing="0" w:after="0" w:afterAutospacing="0"/>
              <w:ind w:left="0" w:right="0"/>
              <w:rPr>
                <w:rFonts w:hint="eastAsia" w:ascii="宋体" w:hAnsi="宋体" w:cs="宋体"/>
                <w:b/>
                <w:bCs/>
                <w:szCs w:val="21"/>
                <w:highlight w:val="none"/>
              </w:rPr>
            </w:pPr>
            <w:r>
              <w:rPr>
                <w:rFonts w:hint="eastAsia" w:ascii="宋体" w:hAnsi="宋体" w:cs="宋体"/>
                <w:b/>
                <w:bCs/>
                <w:szCs w:val="21"/>
                <w:highlight w:val="none"/>
              </w:rPr>
              <w:t>（一）评审内容：</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szCs w:val="21"/>
                <w:highlight w:val="none"/>
              </w:rPr>
            </w:pPr>
            <w:r>
              <w:rPr>
                <w:rFonts w:hint="eastAsia" w:ascii="宋体" w:hAnsi="宋体"/>
                <w:szCs w:val="21"/>
                <w:highlight w:val="none"/>
              </w:rPr>
              <w:t>对</w:t>
            </w:r>
            <w:r>
              <w:rPr>
                <w:rFonts w:hint="eastAsia" w:ascii="宋体" w:hAnsi="宋体"/>
                <w:szCs w:val="21"/>
                <w:highlight w:val="none"/>
                <w:lang w:val="en-US" w:eastAsia="zh-CN"/>
              </w:rPr>
              <w:t>本项目所涉及的</w:t>
            </w:r>
            <w:r>
              <w:rPr>
                <w:rFonts w:hint="eastAsia" w:ascii="宋体" w:hAnsi="宋体"/>
                <w:szCs w:val="21"/>
                <w:highlight w:val="none"/>
              </w:rPr>
              <w:t>生产市场情况的说明（主要品牌厂家、新材料新工艺）。</w:t>
            </w:r>
          </w:p>
          <w:p>
            <w:pPr>
              <w:keepNext w:val="0"/>
              <w:keepLines w:val="0"/>
              <w:widowControl/>
              <w:suppressLineNumbers w:val="0"/>
              <w:spacing w:before="0" w:beforeAutospacing="0" w:after="0" w:afterAutospacing="0"/>
              <w:ind w:left="0" w:right="0"/>
              <w:rPr>
                <w:rFonts w:hint="eastAsia" w:ascii="宋体" w:hAnsi="宋体" w:cs="宋体"/>
                <w:b/>
                <w:bCs/>
                <w:szCs w:val="21"/>
                <w:highlight w:val="none"/>
              </w:rPr>
            </w:pPr>
            <w:r>
              <w:rPr>
                <w:rFonts w:hint="eastAsia" w:ascii="宋体" w:hAnsi="宋体" w:cs="宋体"/>
                <w:b/>
                <w:bCs/>
                <w:szCs w:val="21"/>
                <w:highlight w:val="none"/>
              </w:rPr>
              <w:t>（二）评审标准：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cs="宋体"/>
                <w:szCs w:val="21"/>
                <w:highlight w:val="none"/>
              </w:rPr>
            </w:pPr>
            <w:r>
              <w:rPr>
                <w:rFonts w:hint="eastAsia" w:ascii="宋体" w:hAnsi="宋体"/>
                <w:szCs w:val="21"/>
                <w:highlight w:val="none"/>
                <w:lang w:val="en-US" w:eastAsia="zh-CN"/>
              </w:rPr>
              <w:t>横向对比，</w:t>
            </w:r>
            <w:r>
              <w:rPr>
                <w:rFonts w:hint="eastAsia" w:ascii="宋体" w:hAnsi="宋体"/>
                <w:szCs w:val="21"/>
                <w:highlight w:val="none"/>
              </w:rPr>
              <w:t>优10分、良7分、中4分、差1分。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639"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07" w:type="dxa"/>
            <w:noWrap w:val="0"/>
            <w:vAlign w:val="center"/>
          </w:tcPr>
          <w:p>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4</w:t>
            </w:r>
          </w:p>
        </w:tc>
        <w:tc>
          <w:tcPr>
            <w:tcW w:w="1784"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设计案例</w:t>
            </w:r>
          </w:p>
        </w:tc>
        <w:tc>
          <w:tcPr>
            <w:tcW w:w="679" w:type="dxa"/>
            <w:noWrap w:val="0"/>
            <w:vAlign w:val="center"/>
          </w:tcPr>
          <w:p>
            <w:pPr>
              <w:keepNext w:val="0"/>
              <w:keepLines w:val="0"/>
              <w:suppressLineNumbers w:val="0"/>
              <w:spacing w:before="0" w:beforeAutospacing="0" w:after="0" w:afterAutospacing="0"/>
              <w:ind w:left="0" w:right="0"/>
              <w:jc w:val="center"/>
              <w:rPr>
                <w:rFonts w:hint="default" w:cs="Times New Roman"/>
                <w:b/>
                <w:highlight w:val="none"/>
                <w:lang w:val="en-US" w:eastAsia="zh-CN"/>
              </w:rPr>
            </w:pPr>
            <w:r>
              <w:rPr>
                <w:rFonts w:hint="eastAsia" w:cs="Times New Roman"/>
                <w:b/>
                <w:highlight w:val="none"/>
                <w:lang w:val="en-US" w:eastAsia="zh-CN"/>
              </w:rPr>
              <w:t>10</w:t>
            </w:r>
          </w:p>
        </w:tc>
        <w:tc>
          <w:tcPr>
            <w:tcW w:w="5282" w:type="dxa"/>
            <w:shd w:val="clear" w:color="auto" w:fill="auto"/>
            <w:noWrap w:val="0"/>
            <w:vAlign w:val="top"/>
          </w:tcPr>
          <w:p>
            <w:pPr>
              <w:keepNext w:val="0"/>
              <w:keepLines w:val="0"/>
              <w:widowControl/>
              <w:suppressLineNumbers w:val="0"/>
              <w:spacing w:before="0" w:beforeAutospacing="0" w:after="0" w:afterAutospacing="0"/>
              <w:ind w:left="0" w:right="0"/>
              <w:rPr>
                <w:rFonts w:hint="eastAsia" w:ascii="宋体" w:hAnsi="宋体" w:cs="宋体"/>
                <w:b/>
                <w:bCs/>
                <w:szCs w:val="21"/>
                <w:highlight w:val="none"/>
              </w:rPr>
            </w:pPr>
            <w:r>
              <w:rPr>
                <w:rFonts w:hint="eastAsia" w:ascii="宋体" w:hAnsi="宋体" w:cs="宋体"/>
                <w:b/>
                <w:bCs/>
                <w:szCs w:val="21"/>
                <w:highlight w:val="none"/>
              </w:rPr>
              <w:t>（一）评审内容：</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szCs w:val="21"/>
                <w:highlight w:val="none"/>
              </w:rPr>
            </w:pPr>
            <w:r>
              <w:rPr>
                <w:rFonts w:hint="eastAsia" w:ascii="宋体" w:hAnsi="宋体"/>
                <w:szCs w:val="21"/>
                <w:highlight w:val="none"/>
              </w:rPr>
              <w:t>深化设计示例</w:t>
            </w:r>
            <w:r>
              <w:rPr>
                <w:rFonts w:hint="eastAsia" w:ascii="宋体" w:hAnsi="宋体"/>
                <w:szCs w:val="21"/>
                <w:highlight w:val="none"/>
                <w:lang w:val="en-US" w:eastAsia="zh-CN"/>
              </w:rPr>
              <w:t>两份</w:t>
            </w:r>
            <w:r>
              <w:rPr>
                <w:rFonts w:hint="eastAsia" w:ascii="宋体" w:hAnsi="宋体"/>
                <w:szCs w:val="21"/>
                <w:highlight w:val="none"/>
              </w:rPr>
              <w:t>（理化生任选一间实验室</w:t>
            </w:r>
            <w:r>
              <w:rPr>
                <w:rFonts w:hint="eastAsia" w:ascii="宋体" w:hAnsi="宋体"/>
                <w:szCs w:val="21"/>
                <w:highlight w:val="none"/>
                <w:lang w:val="en-US" w:eastAsia="zh-CN"/>
              </w:rPr>
              <w:t>及智慧校园项目</w:t>
            </w:r>
            <w:r>
              <w:rPr>
                <w:rFonts w:hint="eastAsia" w:ascii="宋体" w:hAnsi="宋体"/>
                <w:szCs w:val="21"/>
                <w:highlight w:val="none"/>
              </w:rPr>
              <w:t>，提供图纸及具体技术参数）。</w:t>
            </w:r>
          </w:p>
          <w:p>
            <w:pPr>
              <w:keepNext w:val="0"/>
              <w:keepLines w:val="0"/>
              <w:widowControl/>
              <w:suppressLineNumbers w:val="0"/>
              <w:spacing w:before="0" w:beforeAutospacing="0" w:after="0" w:afterAutospacing="0"/>
              <w:ind w:left="0" w:right="0"/>
              <w:rPr>
                <w:rFonts w:hint="eastAsia" w:ascii="宋体" w:hAnsi="宋体" w:cs="宋体"/>
                <w:b/>
                <w:bCs/>
                <w:szCs w:val="21"/>
                <w:highlight w:val="none"/>
              </w:rPr>
            </w:pPr>
            <w:r>
              <w:rPr>
                <w:rFonts w:hint="eastAsia" w:ascii="宋体" w:hAnsi="宋体" w:cs="宋体"/>
                <w:b/>
                <w:bCs/>
                <w:szCs w:val="21"/>
                <w:highlight w:val="none"/>
              </w:rPr>
              <w:t>（二）评审标准：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1.每提供一项设计实例，得3分，满分6分；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szCs w:val="21"/>
                <w:highlight w:val="none"/>
              </w:rPr>
            </w:pPr>
            <w:r>
              <w:rPr>
                <w:rFonts w:hint="eastAsia" w:ascii="宋体" w:hAnsi="宋体" w:cs="宋体"/>
                <w:kern w:val="2"/>
                <w:sz w:val="21"/>
                <w:szCs w:val="21"/>
                <w:highlight w:val="none"/>
                <w:lang w:val="en-US" w:eastAsia="zh-CN" w:bidi="ar-SA"/>
              </w:rPr>
              <w:t>2.同一类设计实例</w:t>
            </w:r>
            <w:r>
              <w:rPr>
                <w:rFonts w:hint="eastAsia" w:ascii="宋体" w:hAnsi="宋体" w:eastAsia="宋体" w:cs="宋体"/>
                <w:kern w:val="2"/>
                <w:sz w:val="21"/>
                <w:szCs w:val="21"/>
                <w:highlight w:val="none"/>
                <w:lang w:val="en-US" w:eastAsia="zh-CN" w:bidi="ar-SA"/>
              </w:rPr>
              <w:t>横向对比</w:t>
            </w:r>
            <w:r>
              <w:rPr>
                <w:rFonts w:hint="eastAsia" w:ascii="宋体" w:hAnsi="宋体" w:cs="宋体"/>
                <w:kern w:val="2"/>
                <w:sz w:val="21"/>
                <w:szCs w:val="21"/>
                <w:highlight w:val="none"/>
                <w:lang w:val="en-US" w:eastAsia="zh-CN" w:bidi="ar-SA"/>
              </w:rPr>
              <w:t>，</w:t>
            </w:r>
            <w:r>
              <w:rPr>
                <w:rFonts w:hint="eastAsia" w:ascii="宋体" w:hAnsi="宋体"/>
                <w:szCs w:val="21"/>
                <w:highlight w:val="none"/>
              </w:rPr>
              <w:t>优</w:t>
            </w:r>
            <w:r>
              <w:rPr>
                <w:rFonts w:hint="eastAsia" w:ascii="宋体" w:hAnsi="宋体"/>
                <w:szCs w:val="21"/>
                <w:highlight w:val="none"/>
                <w:lang w:val="en-US" w:eastAsia="zh-CN"/>
              </w:rPr>
              <w:t>2</w:t>
            </w:r>
            <w:r>
              <w:rPr>
                <w:rFonts w:hint="eastAsia" w:ascii="宋体" w:hAnsi="宋体"/>
                <w:szCs w:val="21"/>
                <w:highlight w:val="none"/>
              </w:rPr>
              <w:t>分、良</w:t>
            </w:r>
            <w:r>
              <w:rPr>
                <w:rFonts w:hint="eastAsia" w:ascii="宋体" w:hAnsi="宋体"/>
                <w:szCs w:val="21"/>
                <w:highlight w:val="none"/>
                <w:lang w:val="en-US" w:eastAsia="zh-CN"/>
              </w:rPr>
              <w:t>1</w:t>
            </w:r>
            <w:r>
              <w:rPr>
                <w:rFonts w:hint="eastAsia" w:ascii="宋体" w:hAnsi="宋体"/>
                <w:szCs w:val="21"/>
                <w:highlight w:val="none"/>
              </w:rPr>
              <w:t>分、中</w:t>
            </w:r>
            <w:r>
              <w:rPr>
                <w:rFonts w:hint="eastAsia" w:ascii="宋体" w:hAnsi="宋体"/>
                <w:szCs w:val="21"/>
                <w:highlight w:val="none"/>
                <w:lang w:val="en-US" w:eastAsia="zh-CN"/>
              </w:rPr>
              <w:t>0.5</w:t>
            </w:r>
            <w:r>
              <w:rPr>
                <w:rFonts w:hint="eastAsia" w:ascii="宋体" w:hAnsi="宋体"/>
                <w:szCs w:val="21"/>
                <w:highlight w:val="none"/>
              </w:rPr>
              <w:t>分、差</w:t>
            </w:r>
            <w:r>
              <w:rPr>
                <w:rFonts w:hint="eastAsia" w:ascii="宋体" w:hAnsi="宋体"/>
                <w:szCs w:val="21"/>
                <w:highlight w:val="none"/>
                <w:lang w:val="en-US" w:eastAsia="zh-CN"/>
              </w:rPr>
              <w:t>不得</w:t>
            </w:r>
            <w:r>
              <w:rPr>
                <w:rFonts w:hint="eastAsia" w:ascii="宋体" w:hAnsi="宋体"/>
                <w:szCs w:val="21"/>
                <w:highlight w:val="none"/>
              </w:rPr>
              <w:t>分</w:t>
            </w:r>
            <w:r>
              <w:rPr>
                <w:rFonts w:hint="eastAsia" w:ascii="宋体" w:hAnsi="宋体"/>
                <w:szCs w:val="21"/>
                <w:highlight w:val="none"/>
                <w:lang w:eastAsia="zh-CN"/>
              </w:rPr>
              <w:t>，</w:t>
            </w:r>
            <w:r>
              <w:rPr>
                <w:rFonts w:hint="eastAsia" w:ascii="宋体" w:hAnsi="宋体"/>
                <w:szCs w:val="21"/>
                <w:highlight w:val="none"/>
                <w:lang w:val="en-US" w:eastAsia="zh-CN"/>
              </w:rPr>
              <w:t>满分4分</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restart"/>
            <w:noWrap w:val="0"/>
            <w:vAlign w:val="center"/>
          </w:tcPr>
          <w:p>
            <w:pPr>
              <w:keepNext w:val="0"/>
              <w:keepLines w:val="0"/>
              <w:suppressLineNumbers w:val="0"/>
              <w:spacing w:before="0" w:beforeAutospacing="0" w:after="0" w:afterAutospacing="0"/>
              <w:ind w:left="0" w:right="0"/>
              <w:jc w:val="center"/>
              <w:rPr>
                <w:rFonts w:hint="eastAsia"/>
                <w:highlight w:val="none"/>
              </w:rPr>
            </w:pPr>
            <w:r>
              <w:rPr>
                <w:rFonts w:hint="eastAsia"/>
                <w:highlight w:val="none"/>
              </w:rPr>
              <w:t>3</w:t>
            </w:r>
          </w:p>
        </w:tc>
        <w:tc>
          <w:tcPr>
            <w:tcW w:w="3170" w:type="dxa"/>
            <w:gridSpan w:val="3"/>
            <w:noWrap w:val="0"/>
            <w:vAlign w:val="center"/>
          </w:tcPr>
          <w:p>
            <w:pPr>
              <w:keepNext w:val="0"/>
              <w:keepLines w:val="0"/>
              <w:suppressLineNumbers w:val="0"/>
              <w:spacing w:before="0" w:beforeAutospacing="0" w:after="0" w:afterAutospacing="0"/>
              <w:ind w:left="0" w:right="0"/>
              <w:jc w:val="center"/>
              <w:rPr>
                <w:rFonts w:hint="eastAsia"/>
                <w:highlight w:val="none"/>
              </w:rPr>
            </w:pPr>
            <w:r>
              <w:rPr>
                <w:rFonts w:hint="eastAsia" w:cs="宋体"/>
                <w:szCs w:val="21"/>
                <w:highlight w:val="none"/>
              </w:rPr>
              <w:t>综合实力部分</w:t>
            </w:r>
          </w:p>
        </w:tc>
        <w:tc>
          <w:tcPr>
            <w:tcW w:w="5282" w:type="dxa"/>
            <w:noWrap w:val="0"/>
            <w:vAlign w:val="center"/>
          </w:tcPr>
          <w:p>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07"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序号</w:t>
            </w:r>
          </w:p>
        </w:tc>
        <w:tc>
          <w:tcPr>
            <w:tcW w:w="1784"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评分因素</w:t>
            </w:r>
          </w:p>
        </w:tc>
        <w:tc>
          <w:tcPr>
            <w:tcW w:w="679"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权重</w:t>
            </w:r>
          </w:p>
        </w:tc>
        <w:tc>
          <w:tcPr>
            <w:tcW w:w="5282"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639"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07" w:type="dxa"/>
            <w:noWrap w:val="0"/>
            <w:vAlign w:val="center"/>
          </w:tcPr>
          <w:p>
            <w:pPr>
              <w:keepNext w:val="0"/>
              <w:keepLines w:val="0"/>
              <w:suppressLineNumbers w:val="0"/>
              <w:spacing w:before="0" w:beforeAutospacing="0" w:after="0" w:afterAutospacing="0"/>
              <w:ind w:left="0" w:right="0"/>
              <w:jc w:val="center"/>
              <w:rPr>
                <w:rFonts w:hint="eastAsia"/>
                <w:highlight w:val="none"/>
              </w:rPr>
            </w:pPr>
            <w:r>
              <w:rPr>
                <w:rFonts w:hint="eastAsia"/>
                <w:highlight w:val="none"/>
              </w:rPr>
              <w:t>1</w:t>
            </w:r>
          </w:p>
        </w:tc>
        <w:tc>
          <w:tcPr>
            <w:tcW w:w="1784" w:type="dxa"/>
            <w:noWrap w:val="0"/>
            <w:vAlign w:val="center"/>
          </w:tcPr>
          <w:p>
            <w:pPr>
              <w:keepNext w:val="0"/>
              <w:keepLines w:val="0"/>
              <w:suppressLineNumbers w:val="0"/>
              <w:spacing w:before="0" w:beforeAutospacing="0" w:after="0" w:afterAutospacing="0"/>
              <w:ind w:left="0" w:leftChars="0" w:right="0" w:rightChars="0"/>
              <w:jc w:val="center"/>
              <w:rPr>
                <w:rFonts w:hint="default" w:eastAsia="宋体"/>
                <w:highlight w:val="none"/>
                <w:lang w:val="en-US" w:eastAsia="zh-CN"/>
              </w:rPr>
            </w:pPr>
            <w:r>
              <w:rPr>
                <w:rFonts w:hint="eastAsia"/>
                <w:highlight w:val="none"/>
                <w:lang w:val="en-US" w:eastAsia="zh-CN"/>
              </w:rPr>
              <w:t>企业资质</w:t>
            </w:r>
          </w:p>
        </w:tc>
        <w:tc>
          <w:tcPr>
            <w:tcW w:w="679" w:type="dxa"/>
            <w:noWrap w:val="0"/>
            <w:vAlign w:val="center"/>
          </w:tcPr>
          <w:p>
            <w:pPr>
              <w:keepNext w:val="0"/>
              <w:keepLines w:val="0"/>
              <w:suppressLineNumbers w:val="0"/>
              <w:spacing w:before="0" w:beforeAutospacing="0" w:after="0" w:afterAutospacing="0"/>
              <w:ind w:left="0" w:leftChars="0" w:right="0" w:rightChars="0"/>
              <w:jc w:val="center"/>
              <w:rPr>
                <w:rFonts w:hint="default" w:eastAsia="宋体"/>
                <w:highlight w:val="none"/>
                <w:lang w:val="en-US" w:eastAsia="zh-CN"/>
              </w:rPr>
            </w:pPr>
            <w:r>
              <w:rPr>
                <w:rFonts w:hint="eastAsia"/>
                <w:highlight w:val="none"/>
                <w:lang w:val="en-US" w:eastAsia="zh-CN"/>
              </w:rPr>
              <w:t>6</w:t>
            </w:r>
          </w:p>
        </w:tc>
        <w:tc>
          <w:tcPr>
            <w:tcW w:w="5282" w:type="dxa"/>
            <w:noWrap w:val="0"/>
            <w:vAlign w:val="top"/>
          </w:tcPr>
          <w:p>
            <w:pPr>
              <w:keepNext w:val="0"/>
              <w:keepLines w:val="0"/>
              <w:suppressLineNumbers w:val="0"/>
              <w:spacing w:before="0" w:beforeAutospacing="0" w:after="0" w:afterAutospacing="0"/>
              <w:ind w:left="0" w:right="0"/>
              <w:rPr>
                <w:rFonts w:hint="eastAsia" w:ascii="宋体" w:hAnsi="宋体"/>
                <w:b/>
                <w:bCs/>
                <w:szCs w:val="21"/>
                <w:highlight w:val="none"/>
              </w:rPr>
            </w:pPr>
            <w:r>
              <w:rPr>
                <w:rFonts w:hint="eastAsia" w:ascii="宋体" w:hAnsi="宋体" w:cs="宋体"/>
                <w:b/>
                <w:bCs/>
                <w:szCs w:val="21"/>
                <w:highlight w:val="none"/>
              </w:rPr>
              <w:t>（一）</w:t>
            </w:r>
            <w:r>
              <w:rPr>
                <w:rFonts w:hint="eastAsia" w:ascii="宋体" w:hAnsi="宋体"/>
                <w:b/>
                <w:bCs/>
                <w:szCs w:val="21"/>
                <w:highlight w:val="none"/>
                <w:lang w:val="en-US" w:eastAsia="zh-CN"/>
              </w:rPr>
              <w:t>评分</w:t>
            </w:r>
            <w:r>
              <w:rPr>
                <w:rFonts w:hint="eastAsia" w:ascii="宋体" w:hAnsi="宋体"/>
                <w:b/>
                <w:bCs/>
                <w:szCs w:val="21"/>
                <w:highlight w:val="none"/>
              </w:rPr>
              <w:t>内容：</w:t>
            </w:r>
          </w:p>
          <w:p>
            <w:pPr>
              <w:keepNext w:val="0"/>
              <w:keepLines w:val="0"/>
              <w:suppressLineNumbers w:val="0"/>
              <w:spacing w:before="0" w:beforeAutospacing="0" w:after="0" w:afterAutospacing="0"/>
              <w:ind w:left="0" w:leftChars="0" w:right="0" w:rightChars="0"/>
              <w:rPr>
                <w:rFonts w:hint="default"/>
                <w:highlight w:val="none"/>
                <w:lang w:val="en-US"/>
              </w:rPr>
            </w:pPr>
            <w:r>
              <w:rPr>
                <w:rFonts w:hint="eastAsia" w:ascii="宋体" w:hAnsi="宋体"/>
                <w:szCs w:val="21"/>
                <w:highlight w:val="none"/>
                <w:shd w:val="clear"/>
                <w:lang w:val="en-US" w:eastAsia="zh-CN"/>
              </w:rPr>
              <w:t>具有甲级工程造价资质得2分，工程咨询单位甲级资信资质（综合资信）得2分，工程咨询单位甲级资信资质（专业资信：、电子、信息工程等与本项目相关专业）得2分，满分6分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39"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07" w:type="dxa"/>
            <w:noWrap w:val="0"/>
            <w:vAlign w:val="center"/>
          </w:tcPr>
          <w:p>
            <w:pPr>
              <w:keepNext w:val="0"/>
              <w:keepLines w:val="0"/>
              <w:suppressLineNumbers w:val="0"/>
              <w:spacing w:before="0" w:beforeAutospacing="0" w:after="0" w:afterAutospacing="0"/>
              <w:ind w:left="0" w:right="0"/>
              <w:jc w:val="center"/>
              <w:rPr>
                <w:rFonts w:hint="default" w:eastAsia="宋体"/>
                <w:highlight w:val="none"/>
                <w:lang w:val="en-US" w:eastAsia="zh-CN"/>
              </w:rPr>
            </w:pPr>
            <w:r>
              <w:rPr>
                <w:rFonts w:hint="eastAsia"/>
                <w:highlight w:val="none"/>
                <w:lang w:val="en-US" w:eastAsia="zh-CN"/>
              </w:rPr>
              <w:t>2.</w:t>
            </w:r>
          </w:p>
        </w:tc>
        <w:tc>
          <w:tcPr>
            <w:tcW w:w="1784" w:type="dxa"/>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
              </w:rPr>
              <w:t>投标人同类项目业绩情况</w:t>
            </w:r>
          </w:p>
        </w:tc>
        <w:tc>
          <w:tcPr>
            <w:tcW w:w="679" w:type="dxa"/>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8</w:t>
            </w:r>
          </w:p>
        </w:tc>
        <w:tc>
          <w:tcPr>
            <w:tcW w:w="5282" w:type="dxa"/>
            <w:noWrap w:val="0"/>
            <w:vAlign w:val="top"/>
          </w:tcPr>
          <w:p>
            <w:pPr>
              <w:keepNext w:val="0"/>
              <w:keepLines w:val="0"/>
              <w:suppressLineNumbers w:val="0"/>
              <w:spacing w:before="0" w:beforeAutospacing="0" w:after="0" w:afterAutospacing="0"/>
              <w:ind w:left="0" w:right="0"/>
              <w:rPr>
                <w:rFonts w:hint="eastAsia" w:ascii="宋体" w:hAnsi="宋体"/>
                <w:b/>
                <w:bCs/>
                <w:szCs w:val="21"/>
                <w:highlight w:val="none"/>
              </w:rPr>
            </w:pPr>
            <w:r>
              <w:rPr>
                <w:rFonts w:hint="eastAsia" w:ascii="宋体" w:hAnsi="宋体" w:cs="宋体"/>
                <w:b/>
                <w:bCs/>
                <w:szCs w:val="21"/>
                <w:highlight w:val="none"/>
              </w:rPr>
              <w:t>（一）</w:t>
            </w:r>
            <w:r>
              <w:rPr>
                <w:rFonts w:hint="eastAsia" w:ascii="宋体" w:hAnsi="宋体"/>
                <w:b/>
                <w:bCs/>
                <w:szCs w:val="21"/>
                <w:highlight w:val="none"/>
                <w:lang w:val="en-US" w:eastAsia="zh-CN"/>
              </w:rPr>
              <w:t>评分</w:t>
            </w:r>
            <w:r>
              <w:rPr>
                <w:rFonts w:hint="eastAsia" w:ascii="宋体" w:hAnsi="宋体"/>
                <w:b/>
                <w:bCs/>
                <w:szCs w:val="21"/>
                <w:highlight w:val="none"/>
              </w:rPr>
              <w:t>内容：</w:t>
            </w:r>
          </w:p>
          <w:p>
            <w:pPr>
              <w:keepNext w:val="0"/>
              <w:keepLines w:val="0"/>
              <w:widowControl/>
              <w:suppressLineNumbers w:val="0"/>
              <w:spacing w:before="0" w:beforeAutospacing="0" w:after="0" w:afterAutospacing="0"/>
              <w:ind w:left="0" w:right="0"/>
              <w:jc w:val="left"/>
              <w:textAlignment w:val="center"/>
              <w:rPr>
                <w:rFonts w:hint="eastAsia" w:ascii="宋体" w:hAnsi="宋体" w:cs="宋体"/>
                <w:b w:val="0"/>
                <w:bCs/>
                <w:szCs w:val="21"/>
                <w:highlight w:val="none"/>
                <w:lang w:val="en-US" w:eastAsia="zh-CN"/>
              </w:rPr>
            </w:pPr>
            <w:r>
              <w:rPr>
                <w:rFonts w:hint="eastAsia" w:ascii="宋体" w:hAnsi="宋体" w:eastAsia="宋体" w:cs="宋体"/>
                <w:b w:val="0"/>
                <w:bCs/>
                <w:szCs w:val="21"/>
                <w:highlight w:val="none"/>
                <w:lang w:val="en-US" w:eastAsia="zh-CN"/>
              </w:rPr>
              <w:t>考察投标人201</w:t>
            </w:r>
            <w:r>
              <w:rPr>
                <w:rFonts w:hint="eastAsia" w:ascii="宋体" w:hAnsi="宋体" w:cs="宋体"/>
                <w:b w:val="0"/>
                <w:bCs/>
                <w:szCs w:val="21"/>
                <w:highlight w:val="none"/>
                <w:lang w:val="en-US" w:eastAsia="zh-CN"/>
              </w:rPr>
              <w:t>9</w:t>
            </w:r>
            <w:r>
              <w:rPr>
                <w:rFonts w:hint="eastAsia" w:ascii="宋体" w:hAnsi="宋体" w:eastAsia="宋体" w:cs="宋体"/>
                <w:b w:val="0"/>
                <w:bCs/>
                <w:szCs w:val="21"/>
                <w:highlight w:val="none"/>
                <w:lang w:val="en-US" w:eastAsia="zh-CN"/>
              </w:rPr>
              <w:t>年1月</w:t>
            </w:r>
            <w:r>
              <w:rPr>
                <w:rFonts w:hint="default" w:ascii="宋体" w:hAnsi="宋体" w:eastAsia="宋体" w:cs="宋体"/>
                <w:b w:val="0"/>
                <w:bCs/>
                <w:szCs w:val="21"/>
                <w:highlight w:val="none"/>
                <w:lang w:val="en-US" w:eastAsia="zh-CN"/>
              </w:rPr>
              <w:t>1</w:t>
            </w:r>
            <w:r>
              <w:rPr>
                <w:rFonts w:hint="eastAsia" w:ascii="宋体" w:hAnsi="宋体" w:eastAsia="宋体" w:cs="宋体"/>
                <w:b w:val="0"/>
                <w:bCs/>
                <w:szCs w:val="21"/>
                <w:highlight w:val="none"/>
                <w:lang w:val="en-US" w:eastAsia="zh-CN"/>
              </w:rPr>
              <w:t>日至本项目开标之日（以项目合同签订时间为准）同类项目</w:t>
            </w:r>
            <w:r>
              <w:rPr>
                <w:rFonts w:hint="default" w:ascii="宋体" w:hAnsi="宋体" w:eastAsia="宋体" w:cs="宋体"/>
                <w:b w:val="0"/>
                <w:bCs/>
                <w:szCs w:val="21"/>
                <w:highlight w:val="none"/>
                <w:lang w:val="en-US" w:eastAsia="zh-CN"/>
              </w:rPr>
              <w:t>[</w:t>
            </w:r>
            <w:r>
              <w:rPr>
                <w:rFonts w:hint="eastAsia" w:ascii="宋体" w:hAnsi="宋体" w:eastAsia="宋体" w:cs="宋体"/>
                <w:b w:val="0"/>
                <w:bCs/>
                <w:szCs w:val="21"/>
                <w:highlight w:val="none"/>
                <w:lang w:val="en-US" w:eastAsia="zh-CN"/>
              </w:rPr>
              <w:t>同类项目涉及</w:t>
            </w:r>
            <w:r>
              <w:rPr>
                <w:rFonts w:hint="eastAsia" w:ascii="宋体" w:hAnsi="宋体" w:cs="宋体"/>
                <w:b w:val="0"/>
                <w:bCs/>
                <w:szCs w:val="21"/>
                <w:highlight w:val="none"/>
                <w:lang w:val="en-US" w:eastAsia="zh-CN"/>
              </w:rPr>
              <w:t>两类，第一类（</w:t>
            </w:r>
            <w:r>
              <w:rPr>
                <w:rFonts w:hint="eastAsia" w:ascii="宋体" w:hAnsi="宋体" w:eastAsia="宋体" w:cs="宋体"/>
                <w:b w:val="0"/>
                <w:bCs/>
                <w:szCs w:val="21"/>
                <w:highlight w:val="none"/>
                <w:lang w:val="en-US" w:eastAsia="zh-CN"/>
              </w:rPr>
              <w:t>理科实验室设备；文科专用教室设备；劳动教育及科技活动场馆设备；艺术教育及活动场馆设备；体育教育及活动场馆设备</w:t>
            </w:r>
            <w:r>
              <w:rPr>
                <w:rFonts w:hint="eastAsia" w:ascii="宋体" w:hAnsi="宋体" w:cs="宋体"/>
                <w:b w:val="0"/>
                <w:bCs/>
                <w:szCs w:val="21"/>
                <w:highlight w:val="none"/>
                <w:lang w:val="en-US" w:eastAsia="zh-CN"/>
              </w:rPr>
              <w:t>）和第二类（智慧校园系统及设备</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szCs w:val="21"/>
                <w:highlight w:val="none"/>
                <w:lang w:val="en-US" w:eastAsia="zh-CN"/>
              </w:rPr>
            </w:pPr>
            <w:r>
              <w:rPr>
                <w:rFonts w:hint="eastAsia" w:ascii="宋体" w:hAnsi="宋体" w:cs="宋体"/>
                <w:b w:val="0"/>
                <w:bCs/>
                <w:szCs w:val="21"/>
                <w:highlight w:val="none"/>
                <w:lang w:val="en-US" w:eastAsia="zh-CN"/>
              </w:rPr>
              <w:t>房屋智能化系统及设备）</w:t>
            </w:r>
            <w:r>
              <w:rPr>
                <w:rFonts w:hint="eastAsia" w:ascii="宋体" w:hAnsi="宋体"/>
                <w:szCs w:val="21"/>
                <w:highlight w:val="none"/>
                <w:lang w:val="en-US" w:eastAsia="zh-CN"/>
              </w:rPr>
              <w:t>等项目</w:t>
            </w:r>
            <w:r>
              <w:rPr>
                <w:rFonts w:hint="default" w:ascii="宋体" w:hAnsi="宋体" w:eastAsia="宋体" w:cs="宋体"/>
                <w:b w:val="0"/>
                <w:bCs/>
                <w:szCs w:val="21"/>
                <w:highlight w:val="none"/>
                <w:lang w:val="en-US" w:eastAsia="zh-CN"/>
              </w:rPr>
              <w:t>]</w:t>
            </w:r>
            <w:r>
              <w:rPr>
                <w:rFonts w:hint="eastAsia" w:ascii="宋体" w:hAnsi="宋体"/>
                <w:szCs w:val="21"/>
                <w:highlight w:val="none"/>
              </w:rPr>
              <w:t>相关的设计及技术服务业绩</w:t>
            </w:r>
            <w:r>
              <w:rPr>
                <w:rFonts w:hint="eastAsia" w:ascii="宋体" w:hAnsi="宋体"/>
                <w:szCs w:val="21"/>
                <w:highlight w:val="none"/>
                <w:lang w:val="en-US" w:eastAsia="zh-CN"/>
              </w:rPr>
              <w:t>,需</w:t>
            </w:r>
            <w:r>
              <w:rPr>
                <w:rFonts w:hint="eastAsia" w:ascii="宋体" w:hAnsi="宋体"/>
                <w:szCs w:val="21"/>
                <w:highlight w:val="none"/>
              </w:rPr>
              <w:t>提供合同关键页加盖投标人公章。</w:t>
            </w:r>
            <w:r>
              <w:rPr>
                <w:rFonts w:hint="eastAsia" w:ascii="宋体" w:hAnsi="宋体" w:eastAsia="宋体" w:cs="宋体"/>
                <w:b w:val="0"/>
                <w:bCs/>
                <w:szCs w:val="21"/>
                <w:highlight w:val="none"/>
                <w:lang w:val="en-US" w:eastAsia="zh-CN"/>
              </w:rPr>
              <w:t>每</w:t>
            </w:r>
            <w:r>
              <w:rPr>
                <w:rFonts w:hint="eastAsia" w:ascii="宋体" w:hAnsi="宋体" w:cs="宋体"/>
                <w:b w:val="0"/>
                <w:bCs/>
                <w:szCs w:val="21"/>
                <w:highlight w:val="none"/>
                <w:lang w:val="en-US" w:eastAsia="zh-CN"/>
              </w:rPr>
              <w:t>一</w:t>
            </w:r>
            <w:r>
              <w:rPr>
                <w:rFonts w:hint="eastAsia" w:ascii="宋体" w:hAnsi="宋体" w:eastAsia="宋体" w:cs="宋体"/>
                <w:b w:val="0"/>
                <w:bCs/>
                <w:szCs w:val="21"/>
                <w:highlight w:val="none"/>
                <w:lang w:val="en-US" w:eastAsia="zh-CN"/>
              </w:rPr>
              <w:t>项业绩得</w:t>
            </w:r>
            <w:r>
              <w:rPr>
                <w:rFonts w:hint="eastAsia" w:ascii="宋体" w:hAnsi="宋体" w:cs="宋体"/>
                <w:b w:val="0"/>
                <w:bCs/>
                <w:szCs w:val="21"/>
                <w:highlight w:val="none"/>
                <w:lang w:val="en-US" w:eastAsia="zh-CN"/>
              </w:rPr>
              <w:t>1</w:t>
            </w:r>
            <w:r>
              <w:rPr>
                <w:rFonts w:hint="eastAsia" w:ascii="宋体" w:hAnsi="宋体" w:eastAsia="宋体" w:cs="宋体"/>
                <w:b w:val="0"/>
                <w:bCs/>
                <w:szCs w:val="21"/>
                <w:highlight w:val="none"/>
                <w:lang w:val="en-US" w:eastAsia="zh-CN"/>
              </w:rPr>
              <w:t>分</w:t>
            </w:r>
            <w:r>
              <w:rPr>
                <w:rFonts w:hint="eastAsia" w:ascii="宋体" w:hAnsi="宋体" w:cs="宋体"/>
                <w:b w:val="0"/>
                <w:bCs/>
                <w:szCs w:val="21"/>
                <w:highlight w:val="none"/>
                <w:lang w:val="en-US" w:eastAsia="zh-CN"/>
              </w:rPr>
              <w:t>，每一类别的业绩满分为4分，总计8分</w:t>
            </w:r>
            <w:r>
              <w:rPr>
                <w:rFonts w:hint="eastAsia" w:ascii="宋体" w:hAnsi="宋体" w:eastAsia="宋体" w:cs="宋体"/>
                <w:b w:val="0"/>
                <w:bCs/>
                <w:szCs w:val="21"/>
                <w:highlight w:val="none"/>
                <w:lang w:val="en-US" w:eastAsia="zh-CN"/>
              </w:rPr>
              <w:t>。</w:t>
            </w:r>
          </w:p>
          <w:p>
            <w:pPr>
              <w:keepNext w:val="0"/>
              <w:keepLines w:val="0"/>
              <w:suppressLineNumbers w:val="0"/>
              <w:spacing w:before="0" w:beforeAutospacing="0" w:after="0" w:afterAutospacing="0"/>
              <w:ind w:left="0" w:right="0"/>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（二）评分依据：</w:t>
            </w:r>
          </w:p>
          <w:p>
            <w:pPr>
              <w:keepNext w:val="0"/>
              <w:keepLines w:val="0"/>
              <w:suppressLineNumbers w:val="0"/>
              <w:spacing w:before="0" w:beforeAutospacing="0" w:after="0" w:afterAutospacing="0"/>
              <w:ind w:left="0" w:right="0"/>
              <w:rPr>
                <w:rFonts w:hint="eastAsia" w:ascii="宋体" w:hAnsi="宋体" w:eastAsia="宋体" w:cs="宋体"/>
                <w:b w:val="0"/>
                <w:bCs/>
                <w:szCs w:val="21"/>
                <w:highlight w:val="none"/>
                <w:lang w:val="en-US" w:eastAsia="zh-CN"/>
              </w:rPr>
            </w:pPr>
            <w:r>
              <w:rPr>
                <w:rFonts w:hint="default" w:ascii="宋体" w:hAnsi="宋体" w:eastAsia="宋体" w:cs="宋体"/>
                <w:b w:val="0"/>
                <w:bCs/>
                <w:szCs w:val="21"/>
                <w:highlight w:val="none"/>
                <w:lang w:val="en-US" w:eastAsia="zh-CN"/>
              </w:rPr>
              <w:t>1.</w:t>
            </w:r>
            <w:r>
              <w:rPr>
                <w:rFonts w:hint="eastAsia" w:ascii="宋体" w:hAnsi="宋体" w:eastAsia="宋体" w:cs="宋体"/>
                <w:b w:val="0"/>
                <w:bCs/>
                <w:szCs w:val="21"/>
                <w:highlight w:val="none"/>
                <w:lang w:val="en-US" w:eastAsia="zh-CN"/>
              </w:rPr>
              <w:t>要求提供合同关键信息或项目验收合格评价证明文件作为得分依据，项目验收合格评价证明文件需加盖合同甲方公章（或甲方业务章）。</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ascii="宋体" w:hAnsi="宋体" w:eastAsia="宋体" w:cs="宋体"/>
                <w:b w:val="0"/>
                <w:bCs/>
                <w:szCs w:val="21"/>
                <w:highlight w:val="none"/>
                <w:lang w:val="en-US" w:eastAsia="zh-CN"/>
              </w:rPr>
              <w:t>以上资料均要求提供扫描件，原件备查。评分中出现无证明资料或专家无法凭所提供资料判断是否得分的情况，一律作不得分处理。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39"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07" w:type="dxa"/>
            <w:noWrap w:val="0"/>
            <w:vAlign w:val="center"/>
          </w:tcPr>
          <w:p>
            <w:pPr>
              <w:keepNext w:val="0"/>
              <w:keepLines w:val="0"/>
              <w:suppressLineNumbers w:val="0"/>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2</w:t>
            </w:r>
          </w:p>
        </w:tc>
        <w:tc>
          <w:tcPr>
            <w:tcW w:w="1784" w:type="dxa"/>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color w:val="000000"/>
                <w:kern w:val="2"/>
                <w:sz w:val="21"/>
                <w:szCs w:val="21"/>
                <w:highlight w:val="none"/>
                <w:lang w:val="en-US" w:eastAsia="zh-CN" w:bidi="ar"/>
              </w:rPr>
            </w:pPr>
            <w:r>
              <w:rPr>
                <w:rFonts w:hint="eastAsia" w:ascii="Times New Roman" w:hAnsi="Times New Roman" w:eastAsia="宋体" w:cs="宋体"/>
                <w:color w:val="000000"/>
                <w:kern w:val="2"/>
                <w:sz w:val="21"/>
                <w:szCs w:val="21"/>
                <w:highlight w:val="none"/>
                <w:lang w:val="en-US" w:eastAsia="zh-CN" w:bidi="ar"/>
              </w:rPr>
              <w:t>投标人</w:t>
            </w:r>
            <w:r>
              <w:rPr>
                <w:rFonts w:hint="eastAsia" w:cs="宋体"/>
                <w:color w:val="000000"/>
                <w:kern w:val="2"/>
                <w:sz w:val="21"/>
                <w:szCs w:val="21"/>
                <w:highlight w:val="none"/>
                <w:lang w:val="en-US" w:eastAsia="zh-CN" w:bidi="ar"/>
              </w:rPr>
              <w:t>荣誉</w:t>
            </w:r>
          </w:p>
        </w:tc>
        <w:tc>
          <w:tcPr>
            <w:tcW w:w="679" w:type="dxa"/>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5</w:t>
            </w:r>
          </w:p>
        </w:tc>
        <w:tc>
          <w:tcPr>
            <w:tcW w:w="5282" w:type="dxa"/>
            <w:noWrap w:val="0"/>
            <w:vAlign w:val="top"/>
          </w:tcPr>
          <w:p>
            <w:pPr>
              <w:keepNext w:val="0"/>
              <w:keepLines w:val="0"/>
              <w:suppressLineNumbers w:val="0"/>
              <w:spacing w:before="0" w:beforeAutospacing="0" w:after="0" w:afterAutospacing="0"/>
              <w:ind w:left="0" w:leftChars="0" w:right="0" w:rightChars="0"/>
              <w:rPr>
                <w:rFonts w:hint="eastAsia" w:ascii="宋体" w:hAnsi="宋体" w:eastAsia="宋体" w:cs="宋体"/>
                <w:b w:val="0"/>
                <w:bCs/>
                <w:kern w:val="2"/>
                <w:sz w:val="21"/>
                <w:szCs w:val="21"/>
                <w:highlight w:val="none"/>
                <w:lang w:val="zh-CN" w:eastAsia="zh-CN" w:bidi="ar-SA"/>
              </w:rPr>
            </w:pPr>
            <w:r>
              <w:rPr>
                <w:rFonts w:hint="eastAsia" w:ascii="宋体" w:hAnsi="宋体"/>
                <w:szCs w:val="21"/>
                <w:highlight w:val="none"/>
              </w:rPr>
              <w:t>投标人取得的相关专利及奖项.每项奖项国家级</w:t>
            </w:r>
            <w:r>
              <w:rPr>
                <w:rFonts w:hint="eastAsia" w:ascii="宋体" w:hAnsi="宋体"/>
                <w:szCs w:val="21"/>
                <w:highlight w:val="none"/>
                <w:lang w:val="en-US" w:eastAsia="zh-CN"/>
              </w:rPr>
              <w:t>2</w:t>
            </w:r>
            <w:r>
              <w:rPr>
                <w:rFonts w:hint="eastAsia" w:ascii="宋体" w:hAnsi="宋体"/>
                <w:szCs w:val="21"/>
                <w:highlight w:val="none"/>
              </w:rPr>
              <w:t>分、省级</w:t>
            </w:r>
            <w:r>
              <w:rPr>
                <w:rFonts w:hint="eastAsia" w:ascii="宋体" w:hAnsi="宋体"/>
                <w:szCs w:val="21"/>
                <w:highlight w:val="none"/>
                <w:lang w:val="en-US" w:eastAsia="zh-CN"/>
              </w:rPr>
              <w:t>1</w:t>
            </w:r>
            <w:r>
              <w:rPr>
                <w:rFonts w:hint="eastAsia" w:ascii="宋体" w:hAnsi="宋体"/>
                <w:szCs w:val="21"/>
                <w:highlight w:val="none"/>
              </w:rPr>
              <w:t>分、市级</w:t>
            </w:r>
            <w:r>
              <w:rPr>
                <w:rFonts w:hint="eastAsia" w:ascii="宋体" w:hAnsi="宋体"/>
                <w:szCs w:val="21"/>
                <w:highlight w:val="none"/>
                <w:lang w:val="en-US" w:eastAsia="zh-CN"/>
              </w:rPr>
              <w:t>0.5</w:t>
            </w:r>
            <w:r>
              <w:rPr>
                <w:rFonts w:hint="eastAsia" w:ascii="宋体" w:hAnsi="宋体"/>
                <w:szCs w:val="21"/>
                <w:highlight w:val="none"/>
              </w:rPr>
              <w:t>分。专利每项</w:t>
            </w:r>
            <w:r>
              <w:rPr>
                <w:rFonts w:hint="eastAsia" w:ascii="宋体" w:hAnsi="宋体"/>
                <w:szCs w:val="21"/>
                <w:highlight w:val="none"/>
                <w:lang w:val="en-US" w:eastAsia="zh-CN"/>
              </w:rPr>
              <w:t>2</w:t>
            </w:r>
            <w:r>
              <w:rPr>
                <w:rFonts w:hint="eastAsia" w:ascii="宋体" w:hAnsi="宋体"/>
                <w:szCs w:val="21"/>
                <w:highlight w:val="none"/>
              </w:rPr>
              <w:t>分。满分</w:t>
            </w:r>
            <w:r>
              <w:rPr>
                <w:rFonts w:hint="eastAsia" w:ascii="宋体" w:hAnsi="宋体"/>
                <w:szCs w:val="21"/>
                <w:highlight w:val="none"/>
                <w:lang w:val="en-US" w:eastAsia="zh-CN"/>
              </w:rPr>
              <w:t>5</w:t>
            </w:r>
            <w:r>
              <w:rPr>
                <w:rFonts w:hint="eastAsia" w:ascii="宋体" w:hAnsi="宋体"/>
                <w:szCs w:val="21"/>
                <w:highlight w:val="none"/>
              </w:rPr>
              <w:t>分。提供证书或网络链接。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39"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07" w:type="dxa"/>
            <w:noWrap w:val="0"/>
            <w:vAlign w:val="center"/>
          </w:tcPr>
          <w:p>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3</w:t>
            </w:r>
          </w:p>
        </w:tc>
        <w:tc>
          <w:tcPr>
            <w:tcW w:w="1784"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宋体"/>
                <w:color w:val="000000"/>
                <w:kern w:val="2"/>
                <w:sz w:val="21"/>
                <w:szCs w:val="21"/>
                <w:highlight w:val="none"/>
                <w:lang w:val="en-US" w:eastAsia="zh-CN" w:bidi="ar"/>
              </w:rPr>
            </w:pPr>
            <w:r>
              <w:rPr>
                <w:rFonts w:hint="eastAsia" w:ascii="Times New Roman" w:hAnsi="Times New Roman" w:eastAsia="宋体" w:cs="宋体"/>
                <w:color w:val="000000"/>
                <w:kern w:val="2"/>
                <w:sz w:val="21"/>
                <w:szCs w:val="21"/>
                <w:highlight w:val="none"/>
                <w:lang w:val="en-US" w:eastAsia="zh-CN" w:bidi="ar"/>
              </w:rPr>
              <w:t>拟安排的项目负责人</w:t>
            </w:r>
            <w:r>
              <w:rPr>
                <w:rFonts w:hint="eastAsia" w:cs="宋体"/>
                <w:color w:val="000000"/>
                <w:kern w:val="2"/>
                <w:sz w:val="21"/>
                <w:szCs w:val="21"/>
                <w:highlight w:val="none"/>
                <w:lang w:val="en-US" w:eastAsia="zh-CN" w:bidi="ar"/>
              </w:rPr>
              <w:t>及团队</w:t>
            </w:r>
            <w:r>
              <w:rPr>
                <w:rFonts w:hint="eastAsia" w:ascii="Times New Roman" w:hAnsi="Times New Roman" w:eastAsia="宋体" w:cs="宋体"/>
                <w:color w:val="000000"/>
                <w:kern w:val="2"/>
                <w:sz w:val="21"/>
                <w:szCs w:val="21"/>
                <w:highlight w:val="none"/>
                <w:lang w:val="en-US" w:eastAsia="zh-CN" w:bidi="ar"/>
              </w:rPr>
              <w:t>情况</w:t>
            </w:r>
          </w:p>
        </w:tc>
        <w:tc>
          <w:tcPr>
            <w:tcW w:w="679" w:type="dxa"/>
            <w:noWrap w:val="0"/>
            <w:vAlign w:val="center"/>
          </w:tcPr>
          <w:p>
            <w:pPr>
              <w:keepNext w:val="0"/>
              <w:keepLines w:val="0"/>
              <w:suppressLineNumbers w:val="0"/>
              <w:spacing w:before="0" w:beforeAutospacing="0" w:after="0" w:afterAutospacing="0"/>
              <w:ind w:left="0" w:leftChars="0" w:right="0" w:rightChars="0"/>
              <w:jc w:val="center"/>
              <w:rPr>
                <w:rFonts w:hint="default"/>
                <w:highlight w:val="none"/>
                <w:lang w:val="en-US" w:eastAsia="zh-CN"/>
              </w:rPr>
            </w:pPr>
            <w:r>
              <w:rPr>
                <w:rFonts w:hint="eastAsia"/>
                <w:highlight w:val="none"/>
                <w:lang w:val="en-US" w:eastAsia="zh-CN"/>
              </w:rPr>
              <w:t>14</w:t>
            </w:r>
          </w:p>
        </w:tc>
        <w:tc>
          <w:tcPr>
            <w:tcW w:w="5282" w:type="dxa"/>
            <w:noWrap w:val="0"/>
            <w:vAlign w:val="top"/>
          </w:tcPr>
          <w:p>
            <w:pPr>
              <w:keepNext w:val="0"/>
              <w:keepLines w:val="0"/>
              <w:suppressLineNumbers w:val="0"/>
              <w:spacing w:before="0" w:beforeAutospacing="0" w:after="0" w:afterAutospacing="0"/>
              <w:ind w:left="0" w:right="0"/>
              <w:rPr>
                <w:rFonts w:hint="eastAsia" w:ascii="宋体" w:hAnsi="宋体"/>
                <w:b/>
                <w:bCs/>
                <w:szCs w:val="21"/>
                <w:highlight w:val="none"/>
              </w:rPr>
            </w:pPr>
            <w:r>
              <w:rPr>
                <w:rFonts w:hint="eastAsia" w:ascii="宋体" w:hAnsi="宋体" w:cs="宋体"/>
                <w:b/>
                <w:bCs/>
                <w:szCs w:val="21"/>
                <w:highlight w:val="none"/>
              </w:rPr>
              <w:t>（一）</w:t>
            </w:r>
            <w:r>
              <w:rPr>
                <w:rFonts w:hint="eastAsia" w:ascii="宋体" w:hAnsi="宋体"/>
                <w:b/>
                <w:bCs/>
                <w:szCs w:val="21"/>
                <w:highlight w:val="none"/>
                <w:lang w:val="en-US" w:eastAsia="zh-CN"/>
              </w:rPr>
              <w:t>评分</w:t>
            </w:r>
            <w:r>
              <w:rPr>
                <w:rFonts w:hint="eastAsia" w:ascii="宋体" w:hAnsi="宋体"/>
                <w:b/>
                <w:bCs/>
                <w:szCs w:val="21"/>
                <w:highlight w:val="none"/>
              </w:rPr>
              <w:t>内容：</w:t>
            </w:r>
          </w:p>
          <w:p>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szCs w:val="21"/>
                <w:lang w:val="en-US" w:eastAsia="zh-CN"/>
              </w:rPr>
            </w:pPr>
            <w:r>
              <w:rPr>
                <w:rFonts w:hint="eastAsia" w:ascii="宋体" w:hAnsi="宋体"/>
                <w:szCs w:val="21"/>
                <w:highlight w:val="none"/>
              </w:rPr>
              <w:t>项目负责人及团队成员</w:t>
            </w:r>
            <w:r>
              <w:rPr>
                <w:rFonts w:hint="eastAsia" w:ascii="宋体" w:hAnsi="宋体"/>
                <w:szCs w:val="21"/>
                <w:highlight w:val="none"/>
                <w:lang w:val="en-US" w:eastAsia="zh-CN"/>
              </w:rPr>
              <w:t>必须为</w:t>
            </w:r>
            <w:r>
              <w:rPr>
                <w:rFonts w:hint="eastAsia" w:ascii="宋体" w:hAnsi="宋体" w:eastAsia="宋体" w:cs="宋体"/>
                <w:b w:val="0"/>
                <w:bCs/>
                <w:szCs w:val="21"/>
                <w:lang w:val="en-US" w:eastAsia="zh-CN"/>
              </w:rPr>
              <w:t>投标人的正式聘任</w:t>
            </w:r>
            <w:r>
              <w:rPr>
                <w:rFonts w:hint="eastAsia" w:ascii="宋体" w:hAnsi="宋体" w:cs="宋体"/>
                <w:b w:val="0"/>
                <w:bCs/>
                <w:szCs w:val="21"/>
                <w:lang w:val="en-US" w:eastAsia="zh-CN"/>
              </w:rPr>
              <w:t>员</w:t>
            </w:r>
            <w:r>
              <w:rPr>
                <w:rFonts w:hint="eastAsia" w:ascii="宋体" w:hAnsi="宋体" w:eastAsia="宋体" w:cs="宋体"/>
                <w:b w:val="0"/>
                <w:bCs/>
                <w:szCs w:val="21"/>
                <w:lang w:val="en-US" w:eastAsia="zh-CN"/>
              </w:rPr>
              <w:t>工</w:t>
            </w:r>
            <w:r>
              <w:rPr>
                <w:rFonts w:hint="eastAsia" w:ascii="宋体" w:hAnsi="宋体"/>
                <w:szCs w:val="21"/>
                <w:highlight w:val="none"/>
              </w:rPr>
              <w:t>。</w:t>
            </w:r>
            <w:r>
              <w:rPr>
                <w:rFonts w:hint="eastAsia" w:ascii="宋体" w:hAnsi="宋体" w:eastAsia="宋体" w:cs="宋体"/>
                <w:b w:val="0"/>
                <w:bCs/>
                <w:szCs w:val="21"/>
                <w:lang w:val="en-US" w:eastAsia="zh-CN"/>
              </w:rPr>
              <w:t>在此基础上，评分内容：</w:t>
            </w:r>
          </w:p>
          <w:p>
            <w:pPr>
              <w:keepNext w:val="0"/>
              <w:keepLines w:val="0"/>
              <w:suppressLineNumbers w:val="0"/>
              <w:spacing w:before="0" w:beforeAutospacing="0" w:after="0" w:afterAutospacing="0" w:line="240" w:lineRule="exact"/>
              <w:ind w:left="0" w:right="0"/>
              <w:jc w:val="left"/>
              <w:rPr>
                <w:rFonts w:hint="eastAsia" w:ascii="宋体" w:hAnsi="宋体"/>
                <w:szCs w:val="21"/>
                <w:highlight w:val="none"/>
              </w:rPr>
            </w:pPr>
            <w:r>
              <w:rPr>
                <w:rFonts w:hint="eastAsia" w:ascii="宋体" w:hAnsi="宋体" w:cs="宋体"/>
                <w:b w:val="0"/>
                <w:bCs/>
                <w:szCs w:val="21"/>
                <w:lang w:val="en-US" w:eastAsia="zh-CN"/>
              </w:rPr>
              <w:t>1.</w:t>
            </w:r>
            <w:r>
              <w:rPr>
                <w:rFonts w:hint="eastAsia" w:ascii="宋体" w:hAnsi="宋体" w:eastAsia="宋体" w:cs="宋体"/>
                <w:b w:val="0"/>
                <w:bCs/>
                <w:szCs w:val="21"/>
                <w:lang w:val="en-US" w:eastAsia="zh-CN"/>
              </w:rPr>
              <w:t>项目负责人具有</w:t>
            </w:r>
            <w:r>
              <w:rPr>
                <w:rFonts w:hint="eastAsia" w:ascii="宋体" w:hAnsi="宋体" w:cs="宋体"/>
                <w:b w:val="0"/>
                <w:bCs/>
                <w:szCs w:val="21"/>
                <w:lang w:val="en-US" w:eastAsia="zh-CN"/>
              </w:rPr>
              <w:t>项目或工程管理</w:t>
            </w:r>
            <w:r>
              <w:rPr>
                <w:rFonts w:hint="eastAsia" w:ascii="宋体" w:hAnsi="宋体" w:eastAsia="宋体" w:cs="宋体"/>
                <w:b w:val="0"/>
                <w:bCs/>
                <w:szCs w:val="21"/>
                <w:lang w:val="en-US" w:eastAsia="zh-CN"/>
              </w:rPr>
              <w:t>相关专业研究生及以上学历者，得</w:t>
            </w:r>
            <w:r>
              <w:rPr>
                <w:rFonts w:hint="eastAsia" w:ascii="宋体" w:hAnsi="宋体" w:cs="宋体"/>
                <w:b w:val="0"/>
                <w:bCs/>
                <w:szCs w:val="21"/>
                <w:lang w:val="en-US" w:eastAsia="zh-CN"/>
              </w:rPr>
              <w:t>2</w:t>
            </w:r>
            <w:r>
              <w:rPr>
                <w:rFonts w:hint="eastAsia" w:ascii="宋体" w:hAnsi="宋体" w:eastAsia="宋体" w:cs="宋体"/>
                <w:b w:val="0"/>
                <w:bCs/>
                <w:szCs w:val="21"/>
                <w:lang w:val="en-US" w:eastAsia="zh-CN"/>
              </w:rPr>
              <w:t>分，本科学历者，得</w:t>
            </w:r>
            <w:r>
              <w:rPr>
                <w:rFonts w:hint="eastAsia" w:ascii="宋体" w:hAnsi="宋体" w:cs="宋体"/>
                <w:b w:val="0"/>
                <w:bCs/>
                <w:szCs w:val="21"/>
                <w:lang w:val="en-US" w:eastAsia="zh-CN"/>
              </w:rPr>
              <w:t>1</w:t>
            </w:r>
            <w:r>
              <w:rPr>
                <w:rFonts w:hint="eastAsia" w:ascii="宋体" w:hAnsi="宋体" w:eastAsia="宋体" w:cs="宋体"/>
                <w:b w:val="0"/>
                <w:bCs/>
                <w:szCs w:val="21"/>
                <w:lang w:val="en-US" w:eastAsia="zh-CN"/>
              </w:rPr>
              <w:t>分，其余情况不得分；</w:t>
            </w:r>
          </w:p>
          <w:p>
            <w:pPr>
              <w:keepNext w:val="0"/>
              <w:keepLines w:val="0"/>
              <w:suppressLineNumbers w:val="0"/>
              <w:spacing w:before="0" w:beforeAutospacing="0" w:after="0" w:afterAutospacing="0" w:line="240" w:lineRule="exact"/>
              <w:ind w:left="0" w:right="0"/>
              <w:jc w:val="left"/>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cs="宋体"/>
                <w:szCs w:val="21"/>
              </w:rPr>
              <w:t>项目负责人具有人力资源和社会保障部门颁发的（专业为</w:t>
            </w:r>
            <w:r>
              <w:rPr>
                <w:rFonts w:hint="eastAsia" w:ascii="宋体" w:hAnsi="宋体" w:cs="宋体"/>
                <w:szCs w:val="21"/>
                <w:lang w:val="en-US" w:eastAsia="zh-CN"/>
              </w:rPr>
              <w:t>项目</w:t>
            </w:r>
            <w:r>
              <w:rPr>
                <w:rFonts w:hint="eastAsia" w:ascii="宋体" w:hAnsi="宋体" w:cs="宋体"/>
                <w:szCs w:val="21"/>
              </w:rPr>
              <w:t>或</w:t>
            </w:r>
            <w:r>
              <w:rPr>
                <w:rFonts w:hint="eastAsia" w:ascii="宋体" w:hAnsi="宋体" w:cs="宋体"/>
                <w:szCs w:val="21"/>
                <w:lang w:val="en-US" w:eastAsia="zh-CN"/>
              </w:rPr>
              <w:t>工程管理相关</w:t>
            </w:r>
            <w:r>
              <w:rPr>
                <w:rFonts w:hint="eastAsia" w:ascii="宋体" w:hAnsi="宋体" w:cs="宋体"/>
                <w:szCs w:val="21"/>
              </w:rPr>
              <w:t>专业）有效的高级工程师职称证书</w:t>
            </w:r>
            <w:r>
              <w:rPr>
                <w:rFonts w:hint="eastAsia" w:ascii="宋体" w:hAnsi="宋体" w:cs="宋体"/>
                <w:szCs w:val="21"/>
                <w:lang w:eastAsia="zh-CN"/>
              </w:rPr>
              <w:t>得</w:t>
            </w:r>
            <w:r>
              <w:rPr>
                <w:rFonts w:hint="eastAsia" w:ascii="宋体" w:hAnsi="宋体" w:cs="宋体"/>
                <w:szCs w:val="21"/>
                <w:lang w:val="en-US" w:eastAsia="zh-CN"/>
              </w:rPr>
              <w:t>2分，中</w:t>
            </w:r>
            <w:r>
              <w:rPr>
                <w:rFonts w:hint="eastAsia" w:ascii="宋体" w:hAnsi="宋体" w:cs="宋体"/>
                <w:szCs w:val="21"/>
              </w:rPr>
              <w:t>级工程师职称证书</w:t>
            </w:r>
            <w:r>
              <w:rPr>
                <w:rFonts w:hint="eastAsia" w:ascii="宋体" w:hAnsi="宋体" w:cs="宋体"/>
                <w:szCs w:val="21"/>
                <w:lang w:eastAsia="zh-CN"/>
              </w:rPr>
              <w:t>得</w:t>
            </w:r>
            <w:r>
              <w:rPr>
                <w:rFonts w:hint="eastAsia" w:ascii="宋体" w:hAnsi="宋体" w:cs="宋体"/>
                <w:szCs w:val="21"/>
                <w:lang w:val="en-US" w:eastAsia="zh-CN"/>
              </w:rPr>
              <w:t>1分</w:t>
            </w:r>
            <w:r>
              <w:rPr>
                <w:rFonts w:hint="eastAsia" w:ascii="宋体" w:hAnsi="宋体" w:eastAsia="宋体" w:cs="宋体"/>
                <w:b w:val="0"/>
                <w:bCs/>
                <w:szCs w:val="21"/>
                <w:lang w:val="en-US" w:eastAsia="zh-CN"/>
              </w:rPr>
              <w:t>其余情况不得分；</w:t>
            </w:r>
          </w:p>
          <w:p>
            <w:pPr>
              <w:keepNext w:val="0"/>
              <w:keepLines w:val="0"/>
              <w:suppressLineNumbers w:val="0"/>
              <w:spacing w:before="0" w:beforeAutospacing="0" w:after="0" w:afterAutospacing="0"/>
              <w:ind w:left="0" w:right="0"/>
              <w:rPr>
                <w:rFonts w:hint="default" w:ascii="宋体" w:hAnsi="宋体" w:eastAsia="宋体" w:cs="宋体"/>
                <w:b w:val="0"/>
                <w:bCs/>
                <w:szCs w:val="21"/>
                <w:lang w:val="en-US" w:eastAsia="zh-CN"/>
              </w:rPr>
            </w:pPr>
            <w:r>
              <w:rPr>
                <w:rFonts w:hint="eastAsia" w:ascii="宋体" w:hAnsi="宋体" w:cs="宋体"/>
                <w:b w:val="0"/>
                <w:bCs/>
                <w:szCs w:val="21"/>
                <w:lang w:val="en-US" w:eastAsia="zh-CN"/>
              </w:rPr>
              <w:t>3.</w:t>
            </w:r>
            <w:r>
              <w:rPr>
                <w:rFonts w:hint="eastAsia" w:ascii="宋体" w:hAnsi="宋体" w:cs="宋体"/>
                <w:szCs w:val="21"/>
                <w:lang w:val="en-US" w:eastAsia="zh-CN"/>
              </w:rPr>
              <w:t>项目负责人近 3 年（即 2021年3月1日至今，时间以合同签订日期为准）作为负责人具备类似项目业绩的，每项得1分，本项满分2分；</w:t>
            </w:r>
          </w:p>
          <w:p>
            <w:pPr>
              <w:keepNext w:val="0"/>
              <w:keepLines w:val="0"/>
              <w:suppressLineNumbers w:val="0"/>
              <w:spacing w:before="0" w:beforeAutospacing="0" w:after="0" w:afterAutospacing="0" w:line="240" w:lineRule="exact"/>
              <w:ind w:left="0" w:right="0"/>
              <w:jc w:val="left"/>
              <w:rPr>
                <w:rFonts w:hint="eastAsia" w:ascii="宋体" w:hAnsi="宋体" w:cs="宋体"/>
                <w:b w:val="0"/>
                <w:bCs/>
                <w:szCs w:val="21"/>
                <w:lang w:val="en-US" w:eastAsia="zh-CN"/>
              </w:rPr>
            </w:pPr>
            <w:r>
              <w:rPr>
                <w:rFonts w:hint="eastAsia" w:ascii="宋体" w:hAnsi="宋体"/>
                <w:szCs w:val="21"/>
                <w:highlight w:val="none"/>
                <w:lang w:val="en-US" w:eastAsia="zh-CN"/>
              </w:rPr>
              <w:t>4.项目团队成员具有工业设计、机电、计算机、电子等相关专业</w:t>
            </w:r>
            <w:r>
              <w:rPr>
                <w:rFonts w:hint="eastAsia" w:ascii="宋体" w:hAnsi="宋体" w:eastAsia="宋体" w:cs="宋体"/>
                <w:b w:val="0"/>
                <w:bCs/>
                <w:szCs w:val="21"/>
                <w:lang w:val="en-US" w:eastAsia="zh-CN"/>
              </w:rPr>
              <w:t>研究生及以上学历者</w:t>
            </w:r>
            <w:r>
              <w:rPr>
                <w:rFonts w:hint="eastAsia" w:ascii="宋体" w:hAnsi="宋体" w:cs="宋体"/>
                <w:b w:val="0"/>
                <w:bCs/>
                <w:szCs w:val="21"/>
                <w:lang w:val="en-US" w:eastAsia="zh-CN"/>
              </w:rPr>
              <w:t>，每人得2分，</w:t>
            </w:r>
            <w:r>
              <w:rPr>
                <w:rFonts w:hint="eastAsia" w:ascii="宋体" w:hAnsi="宋体" w:eastAsia="宋体" w:cs="宋体"/>
                <w:b w:val="0"/>
                <w:bCs/>
                <w:szCs w:val="21"/>
                <w:lang w:val="en-US" w:eastAsia="zh-CN"/>
              </w:rPr>
              <w:t>本科学历者，</w:t>
            </w:r>
            <w:r>
              <w:rPr>
                <w:rFonts w:hint="eastAsia" w:ascii="宋体" w:hAnsi="宋体" w:cs="宋体"/>
                <w:b w:val="0"/>
                <w:bCs/>
                <w:szCs w:val="21"/>
                <w:lang w:val="en-US" w:eastAsia="zh-CN"/>
              </w:rPr>
              <w:t>每人</w:t>
            </w:r>
            <w:r>
              <w:rPr>
                <w:rFonts w:hint="eastAsia" w:ascii="宋体" w:hAnsi="宋体" w:eastAsia="宋体" w:cs="宋体"/>
                <w:b w:val="0"/>
                <w:bCs/>
                <w:szCs w:val="21"/>
                <w:lang w:val="en-US" w:eastAsia="zh-CN"/>
              </w:rPr>
              <w:t>得</w:t>
            </w:r>
            <w:r>
              <w:rPr>
                <w:rFonts w:hint="eastAsia" w:ascii="宋体" w:hAnsi="宋体" w:cs="宋体"/>
                <w:b w:val="0"/>
                <w:bCs/>
                <w:szCs w:val="21"/>
                <w:lang w:val="en-US" w:eastAsia="zh-CN"/>
              </w:rPr>
              <w:t>1</w:t>
            </w:r>
            <w:r>
              <w:rPr>
                <w:rFonts w:hint="eastAsia" w:ascii="宋体" w:hAnsi="宋体" w:eastAsia="宋体" w:cs="宋体"/>
                <w:b w:val="0"/>
                <w:bCs/>
                <w:szCs w:val="21"/>
                <w:lang w:val="en-US" w:eastAsia="zh-CN"/>
              </w:rPr>
              <w:t>分</w:t>
            </w:r>
            <w:r>
              <w:rPr>
                <w:rFonts w:hint="eastAsia" w:ascii="宋体" w:hAnsi="宋体" w:cs="宋体"/>
                <w:b w:val="0"/>
                <w:bCs/>
                <w:szCs w:val="21"/>
                <w:lang w:val="en-US" w:eastAsia="zh-CN"/>
              </w:rPr>
              <w:t>，本项满分为4分；</w:t>
            </w:r>
          </w:p>
          <w:p>
            <w:pPr>
              <w:keepNext w:val="0"/>
              <w:keepLines w:val="0"/>
              <w:suppressLineNumbers w:val="0"/>
              <w:spacing w:before="0" w:beforeAutospacing="0" w:after="0" w:afterAutospacing="0" w:line="240" w:lineRule="exact"/>
              <w:ind w:left="0" w:right="0"/>
              <w:jc w:val="left"/>
              <w:rPr>
                <w:rFonts w:hint="eastAsia" w:ascii="宋体" w:hAnsi="宋体"/>
                <w:szCs w:val="21"/>
                <w:highlight w:val="none"/>
              </w:rPr>
            </w:pPr>
            <w:r>
              <w:rPr>
                <w:rFonts w:hint="eastAsia" w:ascii="宋体" w:hAnsi="宋体" w:cs="宋体"/>
                <w:b w:val="0"/>
                <w:bCs/>
                <w:szCs w:val="21"/>
                <w:lang w:val="en-US" w:eastAsia="zh-CN"/>
              </w:rPr>
              <w:t>5.团队成员</w:t>
            </w:r>
            <w:r>
              <w:rPr>
                <w:rFonts w:hint="eastAsia" w:ascii="宋体" w:hAnsi="宋体" w:cs="宋体"/>
                <w:szCs w:val="21"/>
              </w:rPr>
              <w:t>具有人力资源和社会保障部门颁发的（专业为</w:t>
            </w:r>
            <w:r>
              <w:rPr>
                <w:rFonts w:hint="eastAsia" w:ascii="宋体" w:hAnsi="宋体"/>
                <w:szCs w:val="21"/>
                <w:highlight w:val="none"/>
                <w:lang w:val="en-US" w:eastAsia="zh-CN"/>
              </w:rPr>
              <w:t>工业设计、机电、计算机、电子等相关专业</w:t>
            </w:r>
            <w:r>
              <w:rPr>
                <w:rFonts w:hint="eastAsia" w:ascii="宋体" w:hAnsi="宋体" w:cs="宋体"/>
                <w:szCs w:val="21"/>
              </w:rPr>
              <w:t>）有效的高级工程师职称证书</w:t>
            </w:r>
            <w:r>
              <w:rPr>
                <w:rFonts w:hint="eastAsia" w:ascii="宋体" w:hAnsi="宋体" w:cs="宋体"/>
                <w:szCs w:val="21"/>
                <w:lang w:eastAsia="zh-CN"/>
              </w:rPr>
              <w:t>，</w:t>
            </w:r>
            <w:r>
              <w:rPr>
                <w:rFonts w:hint="eastAsia" w:ascii="宋体" w:hAnsi="宋体" w:cs="宋体"/>
                <w:szCs w:val="21"/>
                <w:lang w:val="en-US" w:eastAsia="zh-CN"/>
              </w:rPr>
              <w:t>每1人</w:t>
            </w:r>
            <w:r>
              <w:rPr>
                <w:rFonts w:hint="eastAsia" w:ascii="宋体" w:hAnsi="宋体" w:cs="宋体"/>
                <w:szCs w:val="21"/>
                <w:lang w:eastAsia="zh-CN"/>
              </w:rPr>
              <w:t>得</w:t>
            </w:r>
            <w:r>
              <w:rPr>
                <w:rFonts w:hint="eastAsia" w:ascii="宋体" w:hAnsi="宋体" w:cs="宋体"/>
                <w:szCs w:val="21"/>
                <w:lang w:val="en-US" w:eastAsia="zh-CN"/>
              </w:rPr>
              <w:t>2分，中</w:t>
            </w:r>
            <w:r>
              <w:rPr>
                <w:rFonts w:hint="eastAsia" w:ascii="宋体" w:hAnsi="宋体" w:cs="宋体"/>
                <w:szCs w:val="21"/>
              </w:rPr>
              <w:t>级工程师职称证书</w:t>
            </w:r>
            <w:r>
              <w:rPr>
                <w:rFonts w:hint="eastAsia" w:ascii="宋体" w:hAnsi="宋体" w:cs="宋体"/>
                <w:szCs w:val="21"/>
                <w:lang w:eastAsia="zh-CN"/>
              </w:rPr>
              <w:t>得</w:t>
            </w:r>
            <w:r>
              <w:rPr>
                <w:rFonts w:hint="eastAsia" w:ascii="宋体" w:hAnsi="宋体" w:cs="宋体"/>
                <w:szCs w:val="21"/>
                <w:lang w:val="en-US" w:eastAsia="zh-CN"/>
              </w:rPr>
              <w:t>1分，</w:t>
            </w:r>
            <w:r>
              <w:rPr>
                <w:rFonts w:hint="eastAsia" w:ascii="宋体" w:hAnsi="宋体" w:eastAsia="宋体" w:cs="宋体"/>
                <w:b w:val="0"/>
                <w:bCs/>
                <w:szCs w:val="21"/>
                <w:lang w:val="en-US" w:eastAsia="zh-CN"/>
              </w:rPr>
              <w:t>其余情况不得分；</w:t>
            </w:r>
            <w:r>
              <w:rPr>
                <w:rFonts w:hint="eastAsia" w:ascii="宋体" w:hAnsi="宋体" w:cs="宋体"/>
                <w:b w:val="0"/>
                <w:bCs/>
                <w:szCs w:val="21"/>
                <w:lang w:val="en-US" w:eastAsia="zh-CN"/>
              </w:rPr>
              <w:t>本项满分为4分。</w:t>
            </w:r>
          </w:p>
          <w:p>
            <w:pPr>
              <w:keepNext w:val="0"/>
              <w:keepLines w:val="0"/>
              <w:suppressLineNumbers w:val="0"/>
              <w:spacing w:before="0" w:beforeAutospacing="0" w:after="0" w:afterAutospacing="0"/>
              <w:ind w:left="0" w:right="0"/>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（二）评分依据：</w:t>
            </w:r>
          </w:p>
          <w:p>
            <w:pPr>
              <w:keepNext w:val="0"/>
              <w:keepLines w:val="0"/>
              <w:suppressLineNumbers w:val="0"/>
              <w:spacing w:before="0" w:beforeAutospacing="0" w:after="0" w:afterAutospacing="0"/>
              <w:ind w:left="0" w:right="0"/>
              <w:rPr>
                <w:rFonts w:hint="eastAsia" w:ascii="宋体" w:hAnsi="宋体" w:eastAsia="宋体" w:cs="宋体"/>
                <w:b w:val="0"/>
                <w:bCs/>
                <w:szCs w:val="21"/>
                <w:highlight w:val="none"/>
                <w:lang w:val="en-US" w:eastAsia="zh-CN"/>
              </w:rPr>
            </w:pPr>
            <w:r>
              <w:rPr>
                <w:rFonts w:hint="default" w:ascii="宋体" w:hAnsi="宋体" w:eastAsia="宋体" w:cs="宋体"/>
                <w:b w:val="0"/>
                <w:bCs/>
                <w:szCs w:val="21"/>
                <w:highlight w:val="none"/>
                <w:lang w:val="en-US" w:eastAsia="zh-CN"/>
              </w:rPr>
              <w:t>1.</w:t>
            </w:r>
            <w:r>
              <w:rPr>
                <w:rFonts w:hint="eastAsia" w:ascii="宋体" w:hAnsi="宋体" w:eastAsia="宋体" w:cs="宋体"/>
                <w:b w:val="0"/>
                <w:bCs/>
                <w:szCs w:val="21"/>
                <w:highlight w:val="none"/>
                <w:lang w:val="en-US" w:eastAsia="zh-CN"/>
              </w:rPr>
              <w:t>要求提供投标人相关证明资料（项目负责人学历证书、职称证书、该人员近</w:t>
            </w:r>
            <w:r>
              <w:rPr>
                <w:rFonts w:hint="eastAsia" w:ascii="宋体" w:hAnsi="宋体" w:cs="宋体"/>
                <w:b w:val="0"/>
                <w:bCs/>
                <w:szCs w:val="21"/>
                <w:highlight w:val="none"/>
                <w:lang w:val="en-US" w:eastAsia="zh-CN"/>
              </w:rPr>
              <w:t>一</w:t>
            </w:r>
            <w:r>
              <w:rPr>
                <w:rFonts w:hint="eastAsia" w:ascii="宋体" w:hAnsi="宋体" w:eastAsia="宋体" w:cs="宋体"/>
                <w:b w:val="0"/>
                <w:bCs/>
                <w:szCs w:val="21"/>
                <w:highlight w:val="none"/>
                <w:lang w:val="en-US" w:eastAsia="zh-CN"/>
              </w:rPr>
              <w:t>个月（</w:t>
            </w:r>
            <w:r>
              <w:rPr>
                <w:rFonts w:hint="default" w:ascii="宋体" w:hAnsi="宋体" w:eastAsia="宋体" w:cs="宋体"/>
                <w:b w:val="0"/>
                <w:bCs/>
                <w:szCs w:val="21"/>
                <w:highlight w:val="none"/>
                <w:lang w:val="en-US" w:eastAsia="zh-CN"/>
              </w:rPr>
              <w:t>20</w:t>
            </w:r>
            <w:r>
              <w:rPr>
                <w:rFonts w:hint="eastAsia" w:ascii="宋体" w:hAnsi="宋体" w:eastAsia="宋体" w:cs="宋体"/>
                <w:b w:val="0"/>
                <w:bCs/>
                <w:szCs w:val="21"/>
                <w:highlight w:val="none"/>
                <w:lang w:val="en-US" w:eastAsia="zh-CN"/>
              </w:rPr>
              <w:t>2</w:t>
            </w:r>
            <w:r>
              <w:rPr>
                <w:rFonts w:hint="eastAsia" w:ascii="宋体" w:hAnsi="宋体" w:cs="宋体"/>
                <w:b w:val="0"/>
                <w:bCs/>
                <w:szCs w:val="21"/>
                <w:highlight w:val="none"/>
                <w:lang w:val="en-US" w:eastAsia="zh-CN"/>
              </w:rPr>
              <w:t>4</w:t>
            </w:r>
            <w:r>
              <w:rPr>
                <w:rFonts w:hint="eastAsia" w:ascii="宋体" w:hAnsi="宋体" w:eastAsia="宋体" w:cs="宋体"/>
                <w:b w:val="0"/>
                <w:bCs/>
                <w:szCs w:val="21"/>
                <w:highlight w:val="none"/>
                <w:lang w:val="en-US" w:eastAsia="zh-CN"/>
              </w:rPr>
              <w:t>年</w:t>
            </w:r>
            <w:r>
              <w:rPr>
                <w:rFonts w:hint="eastAsia" w:ascii="宋体" w:hAnsi="宋体" w:cs="宋体"/>
                <w:b w:val="0"/>
                <w:bCs/>
                <w:szCs w:val="21"/>
                <w:highlight w:val="none"/>
                <w:lang w:val="en-US" w:eastAsia="zh-CN"/>
              </w:rPr>
              <w:t>3</w:t>
            </w:r>
            <w:r>
              <w:rPr>
                <w:rFonts w:hint="eastAsia" w:ascii="宋体" w:hAnsi="宋体" w:eastAsia="宋体" w:cs="宋体"/>
                <w:b w:val="0"/>
                <w:bCs/>
                <w:szCs w:val="21"/>
                <w:highlight w:val="none"/>
                <w:lang w:val="en-US" w:eastAsia="zh-CN"/>
              </w:rPr>
              <w:t>月）在投标单位缴纳社保的证明材料等）作为得分依据。</w:t>
            </w:r>
          </w:p>
          <w:p>
            <w:pPr>
              <w:keepNext w:val="0"/>
              <w:keepLines w:val="0"/>
              <w:suppressLineNumbers w:val="0"/>
              <w:spacing w:before="0" w:beforeAutospacing="0" w:after="0" w:afterAutospacing="0"/>
              <w:ind w:left="0" w:right="0"/>
              <w:rPr>
                <w:rFonts w:hint="eastAsia" w:ascii="宋体" w:hAnsi="宋体" w:eastAsia="宋体" w:cs="宋体"/>
                <w:b w:val="0"/>
                <w:bCs/>
                <w:szCs w:val="21"/>
                <w:highlight w:val="none"/>
                <w:lang w:val="en-US" w:eastAsia="zh-CN"/>
              </w:rPr>
            </w:pPr>
            <w:r>
              <w:rPr>
                <w:rFonts w:hint="default" w:ascii="宋体" w:hAnsi="宋体" w:eastAsia="宋体" w:cs="宋体"/>
                <w:b w:val="0"/>
                <w:bCs/>
                <w:szCs w:val="21"/>
                <w:highlight w:val="none"/>
                <w:lang w:val="en-US" w:eastAsia="zh-CN"/>
              </w:rPr>
              <w:t>2.</w:t>
            </w:r>
            <w:r>
              <w:rPr>
                <w:rFonts w:hint="eastAsia" w:ascii="宋体" w:hAnsi="宋体" w:eastAsia="宋体" w:cs="宋体"/>
                <w:b w:val="0"/>
                <w:bCs/>
                <w:szCs w:val="21"/>
                <w:highlight w:val="none"/>
                <w:lang w:val="en-US" w:eastAsia="zh-CN"/>
              </w:rPr>
              <w:t>以上资料均要求提供扫描件（或官方网站截图，截图应包含网址栏），原件备查。</w:t>
            </w:r>
          </w:p>
          <w:p>
            <w:pPr>
              <w:keepNext w:val="0"/>
              <w:keepLines w:val="0"/>
              <w:suppressLineNumbers w:val="0"/>
              <w:spacing w:before="0" w:beforeAutospacing="0" w:after="0" w:afterAutospacing="0"/>
              <w:ind w:left="0" w:right="0"/>
              <w:rPr>
                <w:rFonts w:hint="eastAsia" w:ascii="宋体" w:hAnsi="宋体" w:eastAsia="宋体" w:cs="宋体"/>
                <w:b w:val="0"/>
                <w:bCs/>
                <w:szCs w:val="21"/>
                <w:highlight w:val="none"/>
                <w:lang w:val="en-US" w:eastAsia="zh-CN"/>
              </w:rPr>
            </w:pPr>
            <w:r>
              <w:rPr>
                <w:rFonts w:hint="default" w:ascii="宋体" w:hAnsi="宋体" w:eastAsia="宋体" w:cs="宋体"/>
                <w:b w:val="0"/>
                <w:bCs/>
                <w:szCs w:val="21"/>
                <w:highlight w:val="none"/>
                <w:lang w:val="en-US" w:eastAsia="zh-CN"/>
              </w:rPr>
              <w:t>3.</w:t>
            </w:r>
            <w:r>
              <w:rPr>
                <w:rFonts w:hint="eastAsia" w:ascii="宋体" w:hAnsi="宋体" w:eastAsia="宋体" w:cs="宋体"/>
                <w:b w:val="0"/>
                <w:bCs/>
                <w:szCs w:val="21"/>
                <w:highlight w:val="none"/>
                <w:lang w:val="en-US" w:eastAsia="zh-CN"/>
              </w:rPr>
              <w:t>社保证明资料可为社保收缴部门盖章证明资料、社保窗口打印资料或含网址栏的社保官网截图，代缴或补缴无效。如开标日上一个月的社保材料因社保部门原因暂时无法取得，则可以往前顺延一个月。</w:t>
            </w:r>
          </w:p>
          <w:p>
            <w:pPr>
              <w:keepNext w:val="0"/>
              <w:keepLines w:val="0"/>
              <w:suppressLineNumbers w:val="0"/>
              <w:spacing w:before="0" w:beforeAutospacing="0" w:after="0" w:afterAutospacing="0"/>
              <w:ind w:left="0" w:right="0"/>
              <w:rPr>
                <w:rFonts w:hint="eastAsia" w:ascii="宋体" w:hAnsi="宋体" w:eastAsia="宋体" w:cs="宋体"/>
                <w:b w:val="0"/>
                <w:bCs/>
                <w:szCs w:val="21"/>
                <w:highlight w:val="none"/>
                <w:lang w:val="en-US" w:eastAsia="zh-CN"/>
              </w:rPr>
            </w:pPr>
            <w:r>
              <w:rPr>
                <w:rFonts w:hint="default" w:ascii="宋体" w:hAnsi="宋体" w:eastAsia="宋体" w:cs="宋体"/>
                <w:b w:val="0"/>
                <w:bCs/>
                <w:szCs w:val="21"/>
                <w:highlight w:val="none"/>
                <w:lang w:val="en-US" w:eastAsia="zh-CN"/>
              </w:rPr>
              <w:t>4.</w:t>
            </w:r>
            <w:r>
              <w:rPr>
                <w:rFonts w:hint="eastAsia" w:ascii="宋体" w:hAnsi="宋体" w:eastAsia="宋体" w:cs="宋体"/>
                <w:b w:val="0"/>
                <w:bCs/>
                <w:szCs w:val="21"/>
                <w:highlight w:val="none"/>
                <w:lang w:val="en-US" w:eastAsia="zh-CN"/>
              </w:rPr>
              <w:t>要求提供学历、学位</w:t>
            </w:r>
            <w:r>
              <w:rPr>
                <w:rFonts w:hint="eastAsia" w:ascii="宋体" w:hAnsi="宋体" w:cs="宋体"/>
                <w:b w:val="0"/>
                <w:bCs/>
                <w:szCs w:val="21"/>
                <w:highlight w:val="none"/>
                <w:lang w:val="en-US" w:eastAsia="zh-CN"/>
              </w:rPr>
              <w:t>、职称</w:t>
            </w:r>
            <w:r>
              <w:rPr>
                <w:rFonts w:hint="eastAsia" w:ascii="宋体" w:hAnsi="宋体" w:eastAsia="宋体" w:cs="宋体"/>
                <w:b w:val="0"/>
                <w:bCs/>
                <w:szCs w:val="21"/>
                <w:highlight w:val="none"/>
                <w:lang w:val="en-US" w:eastAsia="zh-CN"/>
              </w:rPr>
              <w:t>证书的，投标人需提供证书扫描件。</w:t>
            </w:r>
          </w:p>
          <w:p>
            <w:pPr>
              <w:keepNext w:val="0"/>
              <w:keepLines w:val="0"/>
              <w:suppressLineNumbers w:val="0"/>
              <w:spacing w:before="0" w:beforeAutospacing="0" w:after="0" w:afterAutospacing="0"/>
              <w:ind w:left="0" w:leftChars="0" w:right="0" w:rightChars="0"/>
              <w:rPr>
                <w:rFonts w:hint="eastAsia" w:ascii="宋体" w:hAnsi="宋体" w:eastAsia="宋体" w:cs="宋体"/>
                <w:b w:val="0"/>
                <w:bCs/>
                <w:szCs w:val="21"/>
                <w:highlight w:val="none"/>
                <w:lang w:val="en-US" w:eastAsia="zh-CN"/>
              </w:rPr>
            </w:pPr>
            <w:r>
              <w:rPr>
                <w:rFonts w:hint="default" w:ascii="宋体" w:hAnsi="宋体" w:eastAsia="宋体" w:cs="宋体"/>
                <w:b w:val="0"/>
                <w:bCs/>
                <w:szCs w:val="21"/>
                <w:highlight w:val="none"/>
                <w:lang w:val="en-US" w:eastAsia="zh-CN"/>
              </w:rPr>
              <w:t>5.</w:t>
            </w:r>
            <w:r>
              <w:rPr>
                <w:rFonts w:hint="eastAsia" w:ascii="宋体" w:hAnsi="宋体" w:eastAsia="宋体" w:cs="宋体"/>
                <w:b w:val="0"/>
                <w:bCs/>
                <w:szCs w:val="21"/>
                <w:highlight w:val="none"/>
                <w:lang w:val="en-US" w:eastAsia="zh-CN"/>
              </w:rPr>
              <w:t>如涉及考察人员工作经验，要求提供项目合同关键信息作为得分依据，通过合同关键信息无法判断是否得分的，还须同时提供相关证明文件。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07" w:type="dxa"/>
            <w:noWrap w:val="0"/>
            <w:vAlign w:val="center"/>
          </w:tcPr>
          <w:p>
            <w:pPr>
              <w:keepNext w:val="0"/>
              <w:keepLines w:val="0"/>
              <w:suppressLineNumbers w:val="0"/>
              <w:spacing w:before="0" w:beforeAutospacing="0" w:after="0" w:afterAutospacing="0"/>
              <w:ind w:left="0" w:right="0"/>
              <w:jc w:val="center"/>
              <w:rPr>
                <w:rFonts w:hint="default" w:eastAsia="宋体"/>
                <w:highlight w:val="none"/>
                <w:lang w:val="en-US" w:eastAsia="zh-CN"/>
              </w:rPr>
            </w:pPr>
            <w:r>
              <w:rPr>
                <w:rFonts w:hint="eastAsia"/>
                <w:highlight w:val="none"/>
                <w:lang w:val="en-US" w:eastAsia="zh-CN"/>
              </w:rPr>
              <w:t>4</w:t>
            </w:r>
          </w:p>
        </w:tc>
        <w:tc>
          <w:tcPr>
            <w:tcW w:w="1784" w:type="dxa"/>
            <w:noWrap w:val="0"/>
            <w:vAlign w:val="center"/>
          </w:tcPr>
          <w:p>
            <w:pPr>
              <w:keepNext w:val="0"/>
              <w:keepLines w:val="0"/>
              <w:suppressLineNumbers w:val="0"/>
              <w:spacing w:before="0" w:beforeAutospacing="0" w:after="0" w:afterAutospacing="0"/>
              <w:ind w:left="0" w:leftChars="0" w:right="0" w:rightChars="0"/>
              <w:jc w:val="center"/>
              <w:rPr>
                <w:rFonts w:hint="eastAsia"/>
                <w:highlight w:val="none"/>
              </w:rPr>
            </w:pPr>
            <w:r>
              <w:rPr>
                <w:rFonts w:hint="eastAsia"/>
                <w:highlight w:val="none"/>
                <w:lang w:val="en-US" w:eastAsia="zh-CN"/>
              </w:rPr>
              <w:t>廉洁承诺</w:t>
            </w:r>
          </w:p>
        </w:tc>
        <w:tc>
          <w:tcPr>
            <w:tcW w:w="679" w:type="dxa"/>
            <w:noWrap w:val="0"/>
            <w:vAlign w:val="center"/>
          </w:tcPr>
          <w:p>
            <w:pPr>
              <w:keepNext w:val="0"/>
              <w:keepLines w:val="0"/>
              <w:suppressLineNumbers w:val="0"/>
              <w:spacing w:before="0" w:beforeAutospacing="0" w:after="0" w:afterAutospacing="0"/>
              <w:ind w:left="0" w:leftChars="0" w:right="0" w:rightChars="0"/>
              <w:jc w:val="center"/>
              <w:rPr>
                <w:rFonts w:hint="default" w:eastAsia="宋体"/>
                <w:highlight w:val="none"/>
                <w:lang w:val="en-US" w:eastAsia="zh-CN"/>
              </w:rPr>
            </w:pPr>
            <w:r>
              <w:rPr>
                <w:rFonts w:hint="eastAsia"/>
                <w:highlight w:val="none"/>
                <w:lang w:val="en-US" w:eastAsia="zh-CN"/>
              </w:rPr>
              <w:t>5</w:t>
            </w:r>
          </w:p>
        </w:tc>
        <w:tc>
          <w:tcPr>
            <w:tcW w:w="5282" w:type="dxa"/>
            <w:noWrap w:val="0"/>
            <w:vAlign w:val="top"/>
          </w:tcPr>
          <w:p>
            <w:pPr>
              <w:keepNext w:val="0"/>
              <w:keepLines w:val="0"/>
              <w:suppressLineNumbers w:val="0"/>
              <w:spacing w:before="0" w:beforeAutospacing="0" w:after="0" w:afterAutospacing="0"/>
              <w:ind w:left="0" w:leftChars="0" w:right="0" w:rightChars="0"/>
              <w:rPr>
                <w:rFonts w:hint="eastAsia"/>
                <w:highlight w:val="none"/>
              </w:rPr>
            </w:pPr>
            <w:r>
              <w:rPr>
                <w:rFonts w:hint="eastAsia" w:ascii="宋体" w:hAnsi="宋体"/>
                <w:szCs w:val="21"/>
                <w:highlight w:val="none"/>
              </w:rPr>
              <w:t>廉洁承诺。承诺不“与生产厂家串通谋取不当利益”，明确违约责任（细化损失赔偿标准）。优</w:t>
            </w:r>
            <w:r>
              <w:rPr>
                <w:rFonts w:hint="eastAsia" w:ascii="宋体" w:hAnsi="宋体"/>
                <w:szCs w:val="21"/>
                <w:highlight w:val="none"/>
                <w:lang w:val="en-US" w:eastAsia="zh-CN"/>
              </w:rPr>
              <w:t>5</w:t>
            </w:r>
            <w:r>
              <w:rPr>
                <w:rFonts w:hint="eastAsia" w:ascii="宋体" w:hAnsi="宋体"/>
                <w:szCs w:val="21"/>
                <w:highlight w:val="none"/>
              </w:rPr>
              <w:t>分、良</w:t>
            </w:r>
            <w:r>
              <w:rPr>
                <w:rFonts w:hint="eastAsia" w:ascii="宋体" w:hAnsi="宋体"/>
                <w:szCs w:val="21"/>
                <w:highlight w:val="none"/>
                <w:lang w:val="en-US" w:eastAsia="zh-CN"/>
              </w:rPr>
              <w:t>3</w:t>
            </w:r>
            <w:r>
              <w:rPr>
                <w:rFonts w:hint="eastAsia" w:ascii="宋体" w:hAnsi="宋体"/>
                <w:szCs w:val="21"/>
                <w:highlight w:val="none"/>
              </w:rPr>
              <w:t>分、中</w:t>
            </w:r>
            <w:r>
              <w:rPr>
                <w:rFonts w:hint="eastAsia" w:ascii="宋体" w:hAnsi="宋体"/>
                <w:szCs w:val="21"/>
                <w:highlight w:val="none"/>
                <w:lang w:val="en-US" w:eastAsia="zh-CN"/>
              </w:rPr>
              <w:t>1</w:t>
            </w:r>
            <w:r>
              <w:rPr>
                <w:rFonts w:hint="eastAsia" w:ascii="宋体" w:hAnsi="宋体"/>
                <w:szCs w:val="21"/>
                <w:highlight w:val="none"/>
              </w:rPr>
              <w:t>分、差</w:t>
            </w:r>
            <w:r>
              <w:rPr>
                <w:rFonts w:hint="eastAsia" w:ascii="宋体" w:hAnsi="宋体"/>
                <w:szCs w:val="21"/>
                <w:highlight w:val="none"/>
                <w:lang w:val="en-US" w:eastAsia="zh-CN"/>
              </w:rPr>
              <w:t>不得</w:t>
            </w:r>
            <w:r>
              <w:rPr>
                <w:rFonts w:hint="eastAsia" w:ascii="宋体" w:hAnsi="宋体"/>
                <w:szCs w:val="21"/>
                <w:highlight w:val="none"/>
              </w:rPr>
              <w:t>分。</w:t>
            </w:r>
          </w:p>
        </w:tc>
      </w:tr>
      <w:bookmarkEnd w:id="8"/>
      <w:bookmarkEnd w:id="9"/>
      <w:bookmarkEnd w:id="10"/>
    </w:tbl>
    <w:p>
      <w:pPr>
        <w:pStyle w:val="2"/>
        <w:jc w:val="both"/>
        <w:rPr>
          <w:rFonts w:hint="eastAsia"/>
          <w:sz w:val="21"/>
          <w:szCs w:val="21"/>
        </w:rPr>
      </w:pPr>
      <w:r>
        <w:rPr>
          <w:rFonts w:hint="eastAsia"/>
          <w:sz w:val="21"/>
          <w:szCs w:val="21"/>
        </w:rPr>
        <w:t>定标方法</w:t>
      </w:r>
    </w:p>
    <w:p>
      <w:pPr>
        <w:spacing w:line="400" w:lineRule="exact"/>
        <w:ind w:left="1050" w:hanging="1050" w:hangingChars="500"/>
        <w:rPr>
          <w:rFonts w:hint="eastAsia" w:ascii="宋体" w:hAnsi="宋体"/>
          <w:szCs w:val="21"/>
        </w:rPr>
      </w:pPr>
      <w:r>
        <w:rPr>
          <w:rFonts w:hint="eastAsia" w:ascii="宋体" w:hAnsi="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szCs w:val="21"/>
          <w:u w:val="single"/>
        </w:rPr>
        <w:t xml:space="preserve"> 自定 </w:t>
      </w:r>
      <w:r>
        <w:rPr>
          <w:rFonts w:hint="eastAsia" w:ascii="宋体" w:hAnsi="宋体"/>
          <w:szCs w:val="21"/>
        </w:rPr>
        <w:t>法（详见“第二册通用条款第八章”）。</w:t>
      </w:r>
    </w:p>
    <w:p>
      <w:pPr>
        <w:widowControl w:val="0"/>
        <w:spacing w:line="360" w:lineRule="auto"/>
        <w:ind w:right="0"/>
        <w:jc w:val="both"/>
        <w:rPr>
          <w:rFonts w:hint="eastAsia" w:ascii="宋体" w:hAnsi="宋体" w:eastAsia="宋体" w:cs="Times New Roman"/>
          <w:sz w:val="24"/>
        </w:rPr>
      </w:pPr>
    </w:p>
    <w:p/>
    <w:p>
      <w:pPr>
        <w:pStyle w:val="2"/>
        <w:spacing w:before="156" w:beforeLines="50" w:after="156" w:afterLines="50"/>
        <w:rPr>
          <w:sz w:val="28"/>
          <w:szCs w:val="28"/>
        </w:rPr>
      </w:pPr>
      <w:r>
        <w:rPr>
          <w:rFonts w:hint="eastAsia"/>
          <w:sz w:val="28"/>
          <w:szCs w:val="28"/>
        </w:rPr>
        <w:t>五、响应</w:t>
      </w:r>
      <w:r>
        <w:rPr>
          <w:sz w:val="28"/>
          <w:szCs w:val="28"/>
        </w:rPr>
        <w:t>文件</w:t>
      </w:r>
      <w:r>
        <w:rPr>
          <w:rFonts w:hint="eastAsia"/>
          <w:sz w:val="28"/>
          <w:szCs w:val="28"/>
        </w:rPr>
        <w:t>格式</w:t>
      </w:r>
    </w:p>
    <w:p/>
    <w:p>
      <w:pPr>
        <w:ind w:firstLine="420" w:firstLineChars="200"/>
      </w:pPr>
      <w:r>
        <w:rPr>
          <w:rFonts w:hint="eastAsia"/>
        </w:rPr>
        <w:t>（一）按评审因素</w:t>
      </w:r>
      <w:r>
        <w:t>组织材料</w:t>
      </w:r>
      <w:r>
        <w:rPr>
          <w:rFonts w:hint="eastAsia"/>
        </w:rPr>
        <w:t>，格式</w:t>
      </w:r>
      <w:r>
        <w:t>自定</w:t>
      </w:r>
      <w:r>
        <w:rPr>
          <w:rFonts w:hint="eastAsia"/>
        </w:rPr>
        <w:t>。</w:t>
      </w:r>
      <w:r>
        <w:t>客观</w:t>
      </w:r>
      <w:r>
        <w:rPr>
          <w:rFonts w:hint="eastAsia"/>
        </w:rPr>
        <w:t>因素</w:t>
      </w:r>
      <w:r>
        <w:t>需提供</w:t>
      </w:r>
      <w:r>
        <w:rPr>
          <w:rFonts w:hint="eastAsia"/>
        </w:rPr>
        <w:t>证书扫描件</w:t>
      </w:r>
      <w:r>
        <w:t>等</w:t>
      </w:r>
      <w:r>
        <w:rPr>
          <w:rFonts w:hint="eastAsia"/>
        </w:rPr>
        <w:t>佐证材料。</w:t>
      </w:r>
    </w:p>
    <w:p>
      <w:pPr>
        <w:ind w:firstLine="420" w:firstLineChars="200"/>
      </w:pPr>
      <w:r>
        <w:rPr>
          <w:rFonts w:hint="eastAsia"/>
        </w:rPr>
        <w:t>（二）供应商</w:t>
      </w:r>
      <w:r>
        <w:t>认为需补充的材料，格式自定。</w:t>
      </w:r>
    </w:p>
    <w:p>
      <w:pPr>
        <w:pStyle w:val="2"/>
        <w:jc w:val="both"/>
        <w:rPr>
          <w:rFonts w:hint="eastAsia"/>
          <w:sz w:val="32"/>
          <w:szCs w:val="32"/>
        </w:rPr>
      </w:pPr>
    </w:p>
    <w:p>
      <w:bookmarkStart w:id="11" w:name="bt合同格式"/>
      <w:bookmarkEnd w:id="11"/>
      <w:bookmarkStart w:id="12" w:name="bt投标文件签署授权委托书"/>
      <w:bookmarkEnd w:id="12"/>
      <w:bookmarkStart w:id="13" w:name="bt投标报价汇总表"/>
      <w:bookmarkEnd w:id="13"/>
      <w:bookmarkStart w:id="14" w:name="bt合同条款"/>
      <w:bookmarkEnd w:id="14"/>
      <w:bookmarkStart w:id="15" w:name="bt技术标投标文件格式"/>
      <w:bookmarkEnd w:id="15"/>
      <w:bookmarkStart w:id="16" w:name="bt项目管理班子配备情况"/>
      <w:bookmarkEnd w:id="16"/>
      <w:bookmarkStart w:id="17" w:name="bt合同条款及格式"/>
      <w:bookmarkEnd w:id="17"/>
      <w:bookmarkStart w:id="18" w:name="bt本工程承诺书"/>
      <w:bookmarkEnd w:id="18"/>
      <w:bookmarkStart w:id="19" w:name="bt商务标投标文件格式"/>
      <w:bookmarkEnd w:id="19"/>
      <w:bookmarkStart w:id="20" w:name="bt投标人情况介绍"/>
      <w:bookmarkEnd w:id="20"/>
      <w:bookmarkStart w:id="21" w:name="bt投标人须知"/>
      <w:bookmarkEnd w:id="21"/>
      <w:bookmarkStart w:id="22" w:name="bt投标函"/>
      <w:bookmarkEnd w:id="22"/>
      <w:bookmarkStart w:id="23" w:name="bt其他资料2"/>
      <w:bookmarkEnd w:id="23"/>
      <w:bookmarkStart w:id="24" w:name="bt说明"/>
      <w:bookmarkEnd w:id="24"/>
      <w:bookmarkStart w:id="25" w:name="bt开标一览表"/>
      <w:bookmarkEnd w:id="25"/>
      <w:bookmarkStart w:id="26" w:name="bt其他资料由投标人自定"/>
      <w:bookmarkEnd w:id="26"/>
      <w:bookmarkStart w:id="27" w:name="合同格式"/>
      <w:bookmarkEnd w:id="27"/>
    </w:p>
    <w:sectPr>
      <w:headerReference r:id="rId3" w:type="first"/>
      <w:footerReference r:id="rId4" w:type="default"/>
      <w:footerReference r:id="rId5" w:type="even"/>
      <w:pgSz w:w="11907" w:h="16840"/>
      <w:pgMar w:top="1701" w:right="1474" w:bottom="1701" w:left="1474" w:header="851" w:footer="992" w:gutter="0"/>
      <w:cols w:space="720" w:num="1"/>
      <w:titlePg/>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Fonts w:hint="eastAsia"/>
      </w:rPr>
    </w:pPr>
    <w:r>
      <w:t xml:space="preserve">- </w:t>
    </w:r>
    <w:r>
      <w:fldChar w:fldCharType="begin"/>
    </w:r>
    <w:r>
      <w:instrText xml:space="preserve"> PAGE </w:instrText>
    </w:r>
    <w:r>
      <w:fldChar w:fldCharType="separate"/>
    </w:r>
    <w:r>
      <w:t>20</w:t>
    </w:r>
    <w:r>
      <w:fldChar w:fldCharType="end"/>
    </w:r>
    <w:r>
      <w:t xml:space="preserve"> -</w:t>
    </w:r>
  </w:p>
  <w:p>
    <w:pPr>
      <w:pStyle w:val="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17</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4B7AC"/>
    <w:multiLevelType w:val="singleLevel"/>
    <w:tmpl w:val="88C4B7AC"/>
    <w:lvl w:ilvl="0" w:tentative="0">
      <w:start w:val="2"/>
      <w:numFmt w:val="decimal"/>
      <w:suff w:val="nothing"/>
      <w:lvlText w:val="（%1）"/>
      <w:lvlJc w:val="left"/>
    </w:lvl>
  </w:abstractNum>
  <w:abstractNum w:abstractNumId="1">
    <w:nsid w:val="B656DDB5"/>
    <w:multiLevelType w:val="singleLevel"/>
    <w:tmpl w:val="B656DDB5"/>
    <w:lvl w:ilvl="0" w:tentative="0">
      <w:start w:val="2"/>
      <w:numFmt w:val="chineseCounting"/>
      <w:suff w:val="nothing"/>
      <w:lvlText w:val="（%1）"/>
      <w:lvlJc w:val="left"/>
      <w:rPr>
        <w:rFonts w:hint="eastAsia"/>
      </w:rPr>
    </w:lvl>
  </w:abstractNum>
  <w:abstractNum w:abstractNumId="2">
    <w:nsid w:val="C0248956"/>
    <w:multiLevelType w:val="singleLevel"/>
    <w:tmpl w:val="C0248956"/>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60"/>
  <w:embedSystemFonts/>
  <w:bordersDoNotSurroundHeader w:val="0"/>
  <w:bordersDoNotSurroundFooter w:val="0"/>
  <w:documentProtection w:enforcement="0"/>
  <w:defaultTabStop w:val="420"/>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 w:name="KSO_WPS_MARK_KEY" w:val="d173e500-0faa-431b-8265-6bbe5029e485"/>
  </w:docVars>
  <w:rsids>
    <w:rsidRoot w:val="00000000"/>
    <w:rsid w:val="0086676A"/>
    <w:rsid w:val="098F6A14"/>
    <w:rsid w:val="0D77472E"/>
    <w:rsid w:val="0F0F5D35"/>
    <w:rsid w:val="10041193"/>
    <w:rsid w:val="10EE10E8"/>
    <w:rsid w:val="118F645E"/>
    <w:rsid w:val="159834C5"/>
    <w:rsid w:val="16F67B3F"/>
    <w:rsid w:val="1BFC23EA"/>
    <w:rsid w:val="1FD827F5"/>
    <w:rsid w:val="21004E0A"/>
    <w:rsid w:val="21B45FB4"/>
    <w:rsid w:val="265005E2"/>
    <w:rsid w:val="27B35203"/>
    <w:rsid w:val="35F9226E"/>
    <w:rsid w:val="3F4D02D5"/>
    <w:rsid w:val="44267BE0"/>
    <w:rsid w:val="46695590"/>
    <w:rsid w:val="46D07C01"/>
    <w:rsid w:val="4D3161C8"/>
    <w:rsid w:val="5088197A"/>
    <w:rsid w:val="545822D9"/>
    <w:rsid w:val="564F3FC3"/>
    <w:rsid w:val="5C0823B5"/>
    <w:rsid w:val="686C533C"/>
    <w:rsid w:val="6AAA4E8C"/>
    <w:rsid w:val="75DD2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4"/>
    <w:autoRedefine/>
    <w:qFormat/>
    <w:uiPriority w:val="0"/>
    <w:pPr>
      <w:adjustRightInd w:val="0"/>
      <w:jc w:val="center"/>
      <w:textAlignment w:val="baseline"/>
      <w:outlineLvl w:val="1"/>
    </w:pPr>
    <w:rPr>
      <w:kern w:val="0"/>
      <w:sz w:val="24"/>
      <w:szCs w:val="20"/>
    </w:rPr>
  </w:style>
  <w:style w:type="paragraph" w:styleId="3">
    <w:name w:val="heading 3"/>
    <w:basedOn w:val="4"/>
    <w:next w:val="1"/>
    <w:qFormat/>
    <w:uiPriority w:val="0"/>
    <w:pPr>
      <w:spacing w:before="260" w:after="260" w:line="240" w:lineRule="auto"/>
      <w:outlineLvl w:val="2"/>
    </w:pPr>
    <w:rPr>
      <w:rFonts w:ascii="宋体" w:hAnsi="宋体" w:eastAsia="宋体"/>
      <w:szCs w:val="32"/>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autoRedefine/>
    <w:semiHidden/>
    <w:qFormat/>
    <w:uiPriority w:val="0"/>
  </w:style>
  <w:style w:type="table" w:default="1" w:styleId="14">
    <w:name w:val="Normal Table"/>
    <w:autoRedefin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Body Text"/>
    <w:basedOn w:val="1"/>
    <w:next w:val="1"/>
    <w:autoRedefine/>
    <w:qFormat/>
    <w:uiPriority w:val="0"/>
    <w:pPr>
      <w:spacing w:line="360" w:lineRule="auto"/>
    </w:pPr>
    <w:rPr>
      <w:b/>
      <w:bCs/>
      <w:sz w:val="24"/>
    </w:rPr>
  </w:style>
  <w:style w:type="paragraph" w:styleId="7">
    <w:name w:val="Body Text Indent"/>
    <w:basedOn w:val="1"/>
    <w:next w:val="8"/>
    <w:autoRedefine/>
    <w:qFormat/>
    <w:uiPriority w:val="0"/>
    <w:pPr>
      <w:spacing w:line="360" w:lineRule="auto"/>
      <w:ind w:firstLine="420" w:firstLineChars="200"/>
    </w:pPr>
  </w:style>
  <w:style w:type="paragraph" w:styleId="8">
    <w:name w:val="envelope return"/>
    <w:basedOn w:val="1"/>
    <w:autoRedefine/>
    <w:unhideWhenUsed/>
    <w:qFormat/>
    <w:uiPriority w:val="99"/>
    <w:pPr>
      <w:snapToGrid w:val="0"/>
    </w:pPr>
    <w:rPr>
      <w:rFonts w:ascii="Arial" w:hAnsi="Arial"/>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autoRedefine/>
    <w:qFormat/>
    <w:uiPriority w:val="0"/>
    <w:pPr>
      <w:tabs>
        <w:tab w:val="left" w:pos="562"/>
        <w:tab w:val="left" w:pos="3372"/>
        <w:tab w:val="left" w:pos="3653"/>
      </w:tabs>
      <w:spacing w:after="120"/>
      <w:ind w:firstLine="420" w:firstLineChars="100"/>
    </w:pPr>
    <w:rPr>
      <w:rFonts w:ascii="Times New Roman" w:hAnsi="Times New Roman" w:eastAsia="宋体" w:cs="Times New Roman"/>
      <w:sz w:val="21"/>
    </w:rPr>
  </w:style>
  <w:style w:type="paragraph" w:styleId="13">
    <w:name w:val="Body Text First Indent 2"/>
    <w:basedOn w:val="7"/>
    <w:next w:val="12"/>
    <w:autoRedefine/>
    <w:qFormat/>
    <w:uiPriority w:val="0"/>
    <w:pPr>
      <w:spacing w:after="120"/>
      <w:ind w:left="200" w:leftChars="200"/>
    </w:pPr>
    <w:rPr>
      <w:rFonts w:ascii="Times New Roman" w:hAnsi="Times New Roman" w:eastAsia="宋体" w:cs="Times New Roman"/>
    </w:rPr>
  </w:style>
  <w:style w:type="character" w:styleId="16">
    <w:name w:val="page number"/>
    <w:autoRedefine/>
    <w:qFormat/>
    <w:uiPriority w:val="0"/>
  </w:style>
  <w:style w:type="character" w:styleId="17">
    <w:name w:val="Hyperlink"/>
    <w:autoRedefine/>
    <w:qFormat/>
    <w:uiPriority w:val="0"/>
    <w:rPr>
      <w:color w:val="0000FF"/>
      <w:u w:val="single"/>
    </w:rPr>
  </w:style>
  <w:style w:type="paragraph" w:styleId="18">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标题 3 Char"/>
    <w:autoRedefine/>
    <w:qFormat/>
    <w:uiPriority w:val="0"/>
    <w:rPr>
      <w:rFonts w:ascii="黑体" w:eastAsia="黑体"/>
      <w:bCs/>
      <w:sz w:val="30"/>
    </w:rPr>
  </w:style>
  <w:style w:type="character" w:customStyle="1" w:styleId="20">
    <w:name w:val="NormalCharacter"/>
    <w:autoRedefine/>
    <w:qFormat/>
    <w:uiPriority w:val="0"/>
    <w:rPr>
      <w:rFonts w:ascii="Calibri" w:hAnsi="Calibri" w:eastAsia="宋体" w:cs="Times New Roman"/>
      <w:kern w:val="2"/>
      <w:sz w:val="21"/>
      <w:szCs w:val="24"/>
      <w:lang w:val="en-US" w:eastAsia="zh-CN" w:bidi="ar-SA"/>
    </w:rPr>
  </w:style>
  <w:style w:type="character" w:customStyle="1" w:styleId="21">
    <w:name w:val="font01"/>
    <w:basedOn w:val="15"/>
    <w:autoRedefine/>
    <w:qFormat/>
    <w:uiPriority w:val="0"/>
    <w:rPr>
      <w:rFonts w:hint="eastAsia" w:ascii="宋体" w:hAnsi="宋体" w:eastAsia="宋体" w:cs="宋体"/>
      <w:color w:val="000000"/>
      <w:sz w:val="24"/>
      <w:szCs w:val="24"/>
      <w:u w:val="none"/>
    </w:rPr>
  </w:style>
  <w:style w:type="character" w:customStyle="1" w:styleId="22">
    <w:name w:val="font21"/>
    <w:basedOn w:val="15"/>
    <w:autoRedefine/>
    <w:qFormat/>
    <w:uiPriority w:val="0"/>
    <w:rPr>
      <w:rFonts w:hint="eastAsia" w:ascii="宋体" w:hAnsi="宋体" w:eastAsia="宋体" w:cs="宋体"/>
      <w:b/>
      <w:bCs/>
      <w:color w:val="000000"/>
      <w:sz w:val="24"/>
      <w:szCs w:val="24"/>
      <w:u w:val="none"/>
    </w:rPr>
  </w:style>
  <w:style w:type="paragraph" w:customStyle="1" w:styleId="23">
    <w:name w:val="msolistparagraph"/>
    <w:basedOn w:val="1"/>
    <w:autoRedefine/>
    <w:qFormat/>
    <w:uiPriority w:val="0"/>
    <w:pPr>
      <w:keepNext w:val="0"/>
      <w:keepLines w:val="0"/>
      <w:widowControl w:val="0"/>
      <w:suppressLineNumbers w:val="0"/>
      <w:spacing w:before="0" w:beforeAutospacing="0" w:after="0" w:afterAutospacing="0"/>
      <w:ind w:left="720" w:right="0"/>
      <w:contextualSpacing/>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3516</Words>
  <Characters>3584</Characters>
  <Lines>0</Lines>
  <Paragraphs>0</Paragraphs>
  <TotalTime>25</TotalTime>
  <ScaleCrop>false</ScaleCrop>
  <LinksUpToDate>false</LinksUpToDate>
  <CharactersWithSpaces>3595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2024-04-23T08:14:00Z</dcterms:created>
  <dc:creator>SZSY</dc:creator>
  <cp:lastModifiedBy>甜甜</cp:lastModifiedBy>
  <dcterms:modified xsi:type="dcterms:W3CDTF">2024-04-30T08:20:20Z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FB01625E760F48C5B0459414A8215056_13</vt:lpwstr>
  </property>
</Properties>
</file>